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eastAsia="仿宋_GB2312"/>
          <w:sz w:val="32"/>
          <w:szCs w:val="32"/>
          <w:u w:val="single"/>
          <w:lang w:val="en-US" w:eastAsia="zh-CN"/>
        </w:rPr>
        <w:t>202102003</w:t>
      </w:r>
    </w:p>
    <w:p>
      <w:pPr>
        <w:spacing w:line="360" w:lineRule="auto"/>
        <w:ind w:firstLine="80" w:firstLineChars="25"/>
        <w:jc w:val="center"/>
        <w:rPr>
          <w:rFonts w:hint="eastAsia" w:ascii="仿宋_GB2312" w:hAnsi="宋体" w:eastAsia="仿宋_GB2312"/>
          <w:sz w:val="44"/>
          <w:szCs w:val="44"/>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lang w:eastAsia="zh-CN"/>
        </w:rPr>
        <w:t>临江公司三固项目办公楼甲醛检测</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5"/>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5"/>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5"/>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5"/>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9"/>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9"/>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三固项目办公楼</w:t>
      </w:r>
      <w:r>
        <w:rPr>
          <w:rFonts w:hint="eastAsia" w:ascii="仿宋_GB2312" w:eastAsia="仿宋_GB2312"/>
          <w:sz w:val="24"/>
          <w:szCs w:val="24"/>
        </w:rPr>
        <w:t>因</w:t>
      </w:r>
      <w:r>
        <w:rPr>
          <w:rFonts w:hint="eastAsia" w:ascii="仿宋_GB2312" w:eastAsia="仿宋_GB2312"/>
          <w:sz w:val="24"/>
          <w:szCs w:val="24"/>
          <w:lang w:eastAsia="zh-CN"/>
        </w:rPr>
        <w:t>办公</w:t>
      </w:r>
      <w:r>
        <w:rPr>
          <w:rFonts w:hint="eastAsia" w:ascii="仿宋_GB2312" w:eastAsia="仿宋_GB2312"/>
          <w:sz w:val="24"/>
          <w:szCs w:val="24"/>
        </w:rPr>
        <w:t>需要，需</w:t>
      </w:r>
      <w:r>
        <w:rPr>
          <w:rFonts w:hint="eastAsia" w:ascii="仿宋_GB2312" w:eastAsia="仿宋_GB2312"/>
          <w:sz w:val="24"/>
          <w:szCs w:val="24"/>
          <w:lang w:eastAsia="zh-CN"/>
        </w:rPr>
        <w:t>对二层、四层办公区进行甲醛检测</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snapToGrid w:val="0"/>
        <w:ind w:firstLine="585"/>
        <w:jc w:val="left"/>
        <w:rPr>
          <w:rFonts w:hint="eastAsia" w:ascii="仿宋_GB2312" w:eastAsia="仿宋_GB2312"/>
          <w:sz w:val="24"/>
          <w:szCs w:val="24"/>
        </w:rPr>
      </w:pPr>
      <w:r>
        <w:rPr>
          <w:rFonts w:hint="eastAsia" w:ascii="仿宋_GB2312" w:eastAsia="仿宋_GB2312"/>
          <w:sz w:val="24"/>
          <w:szCs w:val="24"/>
          <w:lang w:eastAsia="zh-CN"/>
        </w:rPr>
        <w:t>一、</w:t>
      </w:r>
      <w:r>
        <w:rPr>
          <w:rFonts w:hint="eastAsia" w:ascii="仿宋_GB2312" w:eastAsia="仿宋_GB2312"/>
          <w:sz w:val="24"/>
          <w:szCs w:val="24"/>
        </w:rPr>
        <w:t>采购内容及相关说明。</w:t>
      </w:r>
    </w:p>
    <w:p>
      <w:pPr>
        <w:snapToGrid w:val="0"/>
        <w:ind w:left="585"/>
        <w:jc w:val="left"/>
        <w:rPr>
          <w:rFonts w:hint="eastAsia" w:ascii="仿宋_GB2312" w:eastAsia="仿宋_GB2312"/>
          <w:sz w:val="24"/>
          <w:szCs w:val="24"/>
          <w:lang w:eastAsia="zh-CN"/>
        </w:rPr>
      </w:pPr>
      <w:r>
        <w:rPr>
          <w:rFonts w:hint="eastAsia" w:ascii="仿宋_GB2312" w:eastAsia="仿宋_GB2312"/>
          <w:sz w:val="24"/>
          <w:szCs w:val="24"/>
        </w:rPr>
        <w:t>1</w:t>
      </w:r>
      <w:r>
        <w:rPr>
          <w:rFonts w:ascii="仿宋_GB2312" w:eastAsia="仿宋_GB2312"/>
          <w:sz w:val="24"/>
          <w:szCs w:val="24"/>
        </w:rPr>
        <w:t>.</w:t>
      </w:r>
      <w:r>
        <w:rPr>
          <w:rFonts w:hint="eastAsia" w:ascii="仿宋_GB2312" w:eastAsia="仿宋_GB2312"/>
          <w:sz w:val="24"/>
          <w:szCs w:val="24"/>
        </w:rPr>
        <w:t>采购内容</w:t>
      </w:r>
      <w:r>
        <w:rPr>
          <w:rFonts w:hint="eastAsia" w:ascii="仿宋_GB2312" w:eastAsia="仿宋_GB2312"/>
          <w:sz w:val="24"/>
          <w:szCs w:val="24"/>
          <w:lang w:eastAsia="zh-CN"/>
        </w:rPr>
        <w:t>：</w:t>
      </w:r>
      <w:r>
        <w:rPr>
          <w:rFonts w:hint="eastAsia" w:ascii="仿宋_GB2312" w:eastAsia="仿宋_GB2312"/>
          <w:sz w:val="24"/>
          <w:szCs w:val="24"/>
        </w:rPr>
        <w:t>详见第三部分</w:t>
      </w:r>
      <w:r>
        <w:rPr>
          <w:rFonts w:hint="eastAsia" w:ascii="仿宋_GB2312" w:eastAsia="仿宋_GB2312"/>
          <w:sz w:val="24"/>
          <w:szCs w:val="24"/>
          <w:lang w:eastAsia="zh-CN"/>
        </w:rPr>
        <w:t>。</w:t>
      </w:r>
    </w:p>
    <w:p>
      <w:pPr>
        <w:snapToGrid w:val="0"/>
        <w:ind w:firstLine="585"/>
        <w:jc w:val="left"/>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2.本项目最高限价</w:t>
      </w:r>
      <w:r>
        <w:rPr>
          <w:rFonts w:hint="eastAsia" w:ascii="仿宋_GB2312" w:eastAsia="仿宋_GB2312"/>
          <w:color w:val="000000" w:themeColor="text1"/>
          <w:sz w:val="24"/>
          <w:szCs w:val="24"/>
          <w:lang w:val="en-US" w:eastAsia="zh-CN"/>
          <w14:textFill>
            <w14:solidFill>
              <w14:schemeClr w14:val="tx1"/>
            </w14:solidFill>
          </w14:textFill>
        </w:rPr>
        <w:t>6000</w:t>
      </w:r>
      <w:r>
        <w:rPr>
          <w:rFonts w:hint="eastAsia" w:ascii="仿宋_GB2312" w:eastAsia="仿宋_GB2312"/>
          <w:color w:val="000000" w:themeColor="text1"/>
          <w:sz w:val="24"/>
          <w:szCs w:val="24"/>
          <w14:textFill>
            <w14:solidFill>
              <w14:schemeClr w14:val="tx1"/>
            </w14:solidFill>
          </w14:textFill>
        </w:rPr>
        <w:t>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1.供应商必须是在中华人民共和国境内注册，注册资金</w:t>
      </w:r>
      <w:r>
        <w:rPr>
          <w:rFonts w:hint="eastAsia" w:ascii="仿宋_GB2312" w:eastAsia="仿宋_GB2312"/>
          <w:sz w:val="24"/>
          <w:szCs w:val="24"/>
          <w:lang w:val="en-US" w:eastAsia="zh-CN"/>
        </w:rPr>
        <w:t>50</w:t>
      </w:r>
      <w:bookmarkStart w:id="11" w:name="_GoBack"/>
      <w:bookmarkEnd w:id="11"/>
      <w:r>
        <w:rPr>
          <w:rFonts w:hint="eastAsia" w:ascii="仿宋_GB2312" w:eastAsia="仿宋_GB2312"/>
          <w:sz w:val="24"/>
          <w:szCs w:val="24"/>
        </w:rPr>
        <w:t>万元人民币（含）以上，营业执照经营范围具有</w:t>
      </w:r>
      <w:r>
        <w:rPr>
          <w:rFonts w:hint="eastAsia" w:ascii="仿宋_GB2312" w:eastAsia="仿宋_GB2312"/>
          <w:sz w:val="24"/>
          <w:szCs w:val="24"/>
          <w:lang w:eastAsia="zh-CN"/>
        </w:rPr>
        <w:t>招标文件所需货物</w:t>
      </w:r>
      <w:r>
        <w:rPr>
          <w:rFonts w:hint="eastAsia" w:ascii="仿宋_GB2312" w:eastAsia="仿宋_GB2312"/>
          <w:sz w:val="24"/>
          <w:szCs w:val="24"/>
        </w:rPr>
        <w:t>的销售资质，具有独立法人资格。</w:t>
      </w:r>
    </w:p>
    <w:p>
      <w:pPr>
        <w:snapToGrid w:val="0"/>
        <w:ind w:firstLine="585"/>
        <w:jc w:val="left"/>
        <w:rPr>
          <w:rFonts w:hint="eastAsia" w:ascii="仿宋_GB2312" w:eastAsia="仿宋_GB2312"/>
          <w:sz w:val="24"/>
          <w:szCs w:val="24"/>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rPr>
        <w:t>3.本项目不接受联合体投标。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23</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585"/>
        <w:jc w:val="left"/>
        <w:rPr>
          <w:rFonts w:hint="eastAsia" w:ascii="仿宋_GB2312" w:eastAsia="仿宋_GB2312"/>
          <w:sz w:val="24"/>
          <w:szCs w:val="24"/>
        </w:rPr>
      </w:pPr>
      <w:r>
        <w:rPr>
          <w:rFonts w:hint="eastAsia" w:ascii="仿宋_GB2312" w:eastAsia="仿宋_GB2312"/>
          <w:sz w:val="24"/>
          <w:szCs w:val="24"/>
        </w:rPr>
        <w:t>四 、报价时间及地点。</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26</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:00。</w:t>
      </w:r>
    </w:p>
    <w:p>
      <w:pPr>
        <w:snapToGrid w:val="0"/>
        <w:ind w:firstLine="585"/>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2.报价地点：杭州市钱塘新区临江街道红十五线与观十五线交叉口（杭州临江环境能源有限公司前期部）。</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eastAsia" w:ascii="仿宋_GB2312" w:eastAsia="仿宋_GB2312"/>
          <w:sz w:val="24"/>
          <w:szCs w:val="24"/>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先生    联系电话：</w:t>
      </w:r>
      <w:r>
        <w:rPr>
          <w:rFonts w:hint="eastAsia" w:ascii="仿宋_GB2312" w:eastAsia="仿宋_GB2312"/>
          <w:sz w:val="24"/>
          <w:szCs w:val="24"/>
          <w:lang w:val="en-US" w:eastAsia="zh-CN"/>
        </w:rPr>
        <w:t>15700099079</w:t>
      </w:r>
      <w:r>
        <w:rPr>
          <w:rFonts w:hint="eastAsia" w:ascii="仿宋_GB2312" w:eastAsia="仿宋_GB2312"/>
          <w:sz w:val="24"/>
          <w:szCs w:val="24"/>
        </w:rPr>
        <w:t xml:space="preserve"> </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19</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922"/>
      <w:bookmarkStart w:id="7" w:name="_Toc530583879"/>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（二）特殊情况下，采购人可与供应商协商延缓报价有效期，这种要求和答复均以书面形式进行。在这种情况下，保证金的有效期也相应延长。</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lang w:val="en-US" w:eastAsia="zh-CN"/>
        </w:rPr>
        <w:t>4</w:t>
      </w:r>
      <w:r>
        <w:rPr>
          <w:rFonts w:hint="eastAsia" w:ascii="仿宋_GB2312" w:eastAsia="仿宋_GB2312"/>
          <w:bCs/>
          <w:sz w:val="24"/>
          <w:szCs w:val="24"/>
        </w:rPr>
        <w:t>.有效资质证明并加盖公章：通过年检的营业执照复印件。</w:t>
      </w:r>
    </w:p>
    <w:p>
      <w:pPr>
        <w:snapToGrid w:val="0"/>
        <w:ind w:firstLine="427" w:firstLineChars="178"/>
        <w:jc w:val="left"/>
        <w:rPr>
          <w:rFonts w:hint="eastAsia" w:ascii="仿宋_GB2312" w:eastAsia="仿宋_GB2312"/>
          <w:bCs/>
          <w:sz w:val="24"/>
          <w:szCs w:val="24"/>
        </w:rPr>
      </w:pP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八</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）供应商法定代表人或全权代表未到询价报价现场或不能提供相应身份证明的。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七</w:t>
      </w:r>
      <w:r>
        <w:rPr>
          <w:rFonts w:hint="eastAsia" w:ascii="仿宋_GB2312" w:eastAsia="仿宋_GB2312"/>
          <w:sz w:val="24"/>
          <w:szCs w:val="24"/>
        </w:rPr>
        <w:t>）不符合法律、法规和本询价文件规定的其他要求的。</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九</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（二）采购人在询价文件规定的时间和地点公开询价。供应商的法定代表人或全权代表必须参加，负责解答有关事宜，并携带身份证。</w:t>
      </w:r>
    </w:p>
    <w:p>
      <w:pPr>
        <w:snapToGrid w:val="0"/>
        <w:jc w:val="left"/>
        <w:rPr>
          <w:rFonts w:hint="eastAsia" w:ascii="仿宋_GB2312" w:eastAsia="仿宋_GB2312"/>
          <w:sz w:val="24"/>
          <w:szCs w:val="24"/>
        </w:rPr>
      </w:pPr>
      <w:r>
        <w:rPr>
          <w:rFonts w:hint="eastAsia" w:ascii="仿宋_GB2312" w:eastAsia="仿宋_GB2312"/>
          <w:sz w:val="24"/>
          <w:szCs w:val="24"/>
        </w:rPr>
        <w:t>　　（三）询价时，采购人将查验报价文件密封情况，确认无误后公开拆封报价文件报价。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十、成交原则与方法。</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最低价成交的原则确定成交供应商。如果出现相同最低报价情况时，最低报价相同的供应商再进行一轮报价。如报价再相同，则由采购人抽签决定成交单位。</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0"/>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一</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二</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2"/>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hint="eastAsia" w:ascii="仿宋_GB2312" w:eastAsia="仿宋_GB2312"/>
          <w:sz w:val="24"/>
          <w:szCs w:val="24"/>
        </w:rPr>
      </w:pPr>
      <w:r>
        <w:rPr>
          <w:rFonts w:hint="eastAsia" w:ascii="仿宋_GB2312" w:eastAsia="仿宋_GB2312"/>
          <w:sz w:val="24"/>
          <w:szCs w:val="24"/>
          <w:lang w:eastAsia="zh-CN"/>
        </w:rPr>
        <w:t>一、</w:t>
      </w:r>
      <w:r>
        <w:rPr>
          <w:rFonts w:hint="eastAsia" w:ascii="仿宋_GB2312" w:eastAsia="仿宋_GB2312"/>
          <w:sz w:val="24"/>
          <w:szCs w:val="24"/>
        </w:rPr>
        <w:t>采购内容及相关说明。</w:t>
      </w:r>
    </w:p>
    <w:p>
      <w:pPr>
        <w:pStyle w:val="10"/>
        <w:snapToGrid w:val="0"/>
        <w:spacing w:line="240" w:lineRule="auto"/>
        <w:ind w:firstLine="601"/>
        <w:rPr>
          <w:rFonts w:hint="eastAsia" w:ascii="仿宋_GB2312" w:eastAsia="仿宋_GB2312"/>
          <w:sz w:val="24"/>
          <w:szCs w:val="24"/>
        </w:rPr>
      </w:pPr>
      <w:r>
        <w:rPr>
          <w:rFonts w:hint="eastAsia" w:ascii="仿宋_GB2312" w:eastAsia="仿宋_GB2312"/>
          <w:color w:val="auto"/>
          <w:kern w:val="2"/>
          <w:sz w:val="24"/>
          <w:szCs w:val="24"/>
          <w:u w:val="none" w:color="auto"/>
          <w:lang w:val="en-US" w:eastAsia="zh-CN"/>
        </w:rPr>
        <w:t>三固项目办公楼设有五层，其中，二层为办公层，四层为综合办公层，两层总办公区域面积约1290平方米。按平面分布图估算，需要甲醛检测点位20个。</w:t>
      </w:r>
    </w:p>
    <w:p>
      <w:pPr>
        <w:numPr>
          <w:ilvl w:val="0"/>
          <w:numId w:val="0"/>
        </w:numPr>
        <w:adjustRightInd w:val="0"/>
        <w:snapToGrid w:val="0"/>
        <w:ind w:left="585" w:leftChars="0"/>
        <w:jc w:val="left"/>
        <w:textAlignment w:val="baseline"/>
        <w:rPr>
          <w:rFonts w:hint="eastAsia" w:ascii="仿宋_GB2312" w:eastAsia="仿宋_GB2312"/>
          <w:sz w:val="24"/>
          <w:szCs w:val="24"/>
          <w:lang w:eastAsia="zh-CN"/>
        </w:rPr>
      </w:pPr>
      <w:r>
        <w:rPr>
          <w:rFonts w:hint="eastAsia" w:ascii="仿宋_GB2312" w:eastAsia="仿宋_GB2312"/>
          <w:sz w:val="24"/>
          <w:szCs w:val="24"/>
          <w:lang w:eastAsia="zh-CN"/>
        </w:rPr>
        <w:drawing>
          <wp:inline distT="0" distB="0" distL="114300" distR="114300">
            <wp:extent cx="5297170" cy="3491230"/>
            <wp:effectExtent l="0" t="0" r="17780" b="13970"/>
            <wp:docPr id="1" name="图片 1" descr="二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层"/>
                    <pic:cNvPicPr>
                      <a:picLocks noChangeAspect="1"/>
                    </pic:cNvPicPr>
                  </pic:nvPicPr>
                  <pic:blipFill>
                    <a:blip r:embed="rId5"/>
                    <a:stretch>
                      <a:fillRect/>
                    </a:stretch>
                  </pic:blipFill>
                  <pic:spPr>
                    <a:xfrm>
                      <a:off x="0" y="0"/>
                      <a:ext cx="5297170" cy="3491230"/>
                    </a:xfrm>
                    <a:prstGeom prst="rect">
                      <a:avLst/>
                    </a:prstGeom>
                  </pic:spPr>
                </pic:pic>
              </a:graphicData>
            </a:graphic>
          </wp:inline>
        </w:drawing>
      </w:r>
    </w:p>
    <w:p>
      <w:pPr>
        <w:numPr>
          <w:ilvl w:val="0"/>
          <w:numId w:val="0"/>
        </w:numPr>
        <w:adjustRightInd w:val="0"/>
        <w:snapToGrid w:val="0"/>
        <w:ind w:left="585" w:leftChars="0"/>
        <w:jc w:val="left"/>
        <w:textAlignment w:val="baseline"/>
        <w:rPr>
          <w:rFonts w:hint="eastAsia" w:ascii="仿宋_GB2312" w:eastAsia="仿宋_GB2312"/>
          <w:sz w:val="24"/>
          <w:szCs w:val="24"/>
          <w:lang w:eastAsia="zh-CN"/>
        </w:rPr>
      </w:pPr>
      <w:r>
        <w:rPr>
          <w:rFonts w:hint="eastAsia" w:ascii="仿宋_GB2312" w:eastAsia="仿宋_GB2312"/>
          <w:sz w:val="24"/>
          <w:szCs w:val="24"/>
          <w:lang w:eastAsia="zh-CN"/>
        </w:rPr>
        <w:drawing>
          <wp:inline distT="0" distB="0" distL="114300" distR="114300">
            <wp:extent cx="5880735" cy="1731010"/>
            <wp:effectExtent l="0" t="0" r="5715" b="2540"/>
            <wp:docPr id="2" name="图片 2" descr="四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四层"/>
                    <pic:cNvPicPr>
                      <a:picLocks noChangeAspect="1"/>
                    </pic:cNvPicPr>
                  </pic:nvPicPr>
                  <pic:blipFill>
                    <a:blip r:embed="rId6"/>
                    <a:stretch>
                      <a:fillRect/>
                    </a:stretch>
                  </pic:blipFill>
                  <pic:spPr>
                    <a:xfrm>
                      <a:off x="0" y="0"/>
                      <a:ext cx="5880735" cy="1731010"/>
                    </a:xfrm>
                    <a:prstGeom prst="rect">
                      <a:avLst/>
                    </a:prstGeom>
                  </pic:spPr>
                </pic:pic>
              </a:graphicData>
            </a:graphic>
          </wp:inline>
        </w:drawing>
      </w:r>
    </w:p>
    <w:p>
      <w:pPr>
        <w:numPr>
          <w:ilvl w:val="0"/>
          <w:numId w:val="0"/>
        </w:numPr>
        <w:adjustRightInd w:val="0"/>
        <w:snapToGrid w:val="0"/>
        <w:ind w:left="585" w:leftChars="0"/>
        <w:jc w:val="left"/>
        <w:textAlignment w:val="baseline"/>
        <w:rPr>
          <w:rFonts w:hint="eastAsia" w:ascii="仿宋_GB2312" w:eastAsia="仿宋_GB2312"/>
          <w:sz w:val="24"/>
          <w:szCs w:val="24"/>
        </w:rPr>
      </w:pPr>
      <w:r>
        <w:rPr>
          <w:rFonts w:hint="eastAsia" w:ascii="仿宋_GB2312" w:eastAsia="仿宋_GB2312"/>
          <w:sz w:val="24"/>
          <w:szCs w:val="24"/>
          <w:lang w:eastAsia="zh-CN"/>
        </w:rPr>
        <w:t>二、检测</w:t>
      </w:r>
      <w:r>
        <w:rPr>
          <w:rFonts w:hint="eastAsia" w:ascii="仿宋_GB2312" w:eastAsia="仿宋_GB2312"/>
          <w:sz w:val="24"/>
          <w:szCs w:val="24"/>
        </w:rPr>
        <w:t>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本项目根据GB/T1883-2002《室内空气质量标准》</w:t>
      </w:r>
      <w:r>
        <w:rPr>
          <w:rFonts w:hint="eastAsia" w:ascii="仿宋_GB2312" w:eastAsia="仿宋_GB2312"/>
          <w:color w:val="auto"/>
          <w:kern w:val="2"/>
          <w:sz w:val="24"/>
          <w:szCs w:val="24"/>
          <w:u w:val="none" w:color="auto"/>
          <w:lang w:eastAsia="zh-CN"/>
        </w:rPr>
        <w:t>标准</w:t>
      </w:r>
      <w:r>
        <w:rPr>
          <w:rFonts w:hint="eastAsia" w:ascii="仿宋_GB2312" w:eastAsia="仿宋_GB2312"/>
          <w:color w:val="auto"/>
          <w:kern w:val="2"/>
          <w:sz w:val="24"/>
          <w:szCs w:val="24"/>
          <w:u w:val="none" w:color="auto"/>
        </w:rPr>
        <w:t>检测</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检测五项</w:t>
      </w:r>
      <w:r>
        <w:rPr>
          <w:rFonts w:hint="eastAsia" w:ascii="仿宋_GB2312" w:eastAsia="仿宋_GB2312"/>
          <w:color w:val="auto"/>
          <w:kern w:val="2"/>
          <w:sz w:val="24"/>
          <w:szCs w:val="24"/>
          <w:u w:val="none" w:color="auto"/>
          <w:lang w:eastAsia="zh-CN"/>
        </w:rPr>
        <w:t>指标：</w:t>
      </w:r>
      <w:r>
        <w:rPr>
          <w:rFonts w:hint="eastAsia" w:ascii="仿宋_GB2312" w:eastAsia="仿宋_GB2312"/>
          <w:color w:val="auto"/>
          <w:kern w:val="2"/>
          <w:sz w:val="24"/>
          <w:szCs w:val="24"/>
          <w:u w:val="none" w:color="auto"/>
        </w:rPr>
        <w:t>甲醛</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苯</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甲苯</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二甲苯</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lang w:val="en-US" w:eastAsia="zh-CN"/>
        </w:rPr>
        <w:t>TVOC</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供应商接到采购人通知后，</w:t>
      </w:r>
      <w:r>
        <w:rPr>
          <w:rFonts w:hint="eastAsia" w:ascii="仿宋_GB2312" w:eastAsia="仿宋_GB2312"/>
          <w:color w:val="auto"/>
          <w:kern w:val="2"/>
          <w:sz w:val="24"/>
          <w:szCs w:val="24"/>
          <w:u w:val="none" w:color="auto"/>
          <w:lang w:val="en-US" w:eastAsia="zh-CN"/>
        </w:rPr>
        <w:t>3</w:t>
      </w:r>
      <w:r>
        <w:rPr>
          <w:rFonts w:hint="eastAsia" w:ascii="仿宋_GB2312" w:eastAsia="仿宋_GB2312"/>
          <w:color w:val="auto"/>
          <w:kern w:val="2"/>
          <w:sz w:val="24"/>
          <w:szCs w:val="24"/>
          <w:u w:val="none" w:color="auto"/>
        </w:rPr>
        <w:t>日内至采购人指定地点</w:t>
      </w:r>
      <w:r>
        <w:rPr>
          <w:rFonts w:hint="eastAsia" w:ascii="仿宋_GB2312" w:eastAsia="仿宋_GB2312"/>
          <w:color w:val="auto"/>
          <w:kern w:val="2"/>
          <w:sz w:val="24"/>
          <w:szCs w:val="24"/>
          <w:u w:val="none" w:color="auto"/>
          <w:lang w:eastAsia="zh-CN"/>
        </w:rPr>
        <w:t>，进行检测并出具</w:t>
      </w:r>
      <w:r>
        <w:rPr>
          <w:rFonts w:hint="eastAsia" w:ascii="仿宋_GB2312" w:eastAsia="仿宋_GB2312"/>
          <w:color w:val="auto"/>
          <w:kern w:val="2"/>
          <w:sz w:val="24"/>
          <w:szCs w:val="24"/>
          <w:u w:val="none" w:color="auto"/>
          <w:lang w:val="en-US" w:eastAsia="zh-CN"/>
        </w:rPr>
        <w:t>CMA检测</w:t>
      </w:r>
      <w:r>
        <w:rPr>
          <w:rFonts w:hint="eastAsia" w:ascii="仿宋_GB2312" w:eastAsia="仿宋_GB2312"/>
          <w:color w:val="auto"/>
          <w:kern w:val="2"/>
          <w:sz w:val="24"/>
          <w:szCs w:val="24"/>
          <w:u w:val="none" w:color="auto"/>
          <w:lang w:eastAsia="zh-CN"/>
        </w:rPr>
        <w:t>报告</w:t>
      </w:r>
      <w:r>
        <w:rPr>
          <w:rFonts w:hint="eastAsia" w:ascii="仿宋_GB2312" w:eastAsia="仿宋_GB2312"/>
          <w:color w:val="auto"/>
          <w:kern w:val="2"/>
          <w:sz w:val="24"/>
          <w:szCs w:val="24"/>
          <w:u w:val="none" w:color="auto"/>
        </w:rPr>
        <w:t>。</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lang w:eastAsia="zh-CN"/>
        </w:rPr>
        <w:t>签订合同后，</w:t>
      </w:r>
      <w:r>
        <w:rPr>
          <w:rFonts w:hint="eastAsia" w:ascii="仿宋_GB2312" w:eastAsia="仿宋_GB2312"/>
          <w:color w:val="auto"/>
          <w:kern w:val="2"/>
          <w:sz w:val="24"/>
          <w:szCs w:val="24"/>
          <w:u w:val="none" w:color="auto"/>
        </w:rPr>
        <w:t>采购人自收到</w:t>
      </w:r>
      <w:r>
        <w:rPr>
          <w:rFonts w:hint="eastAsia" w:ascii="仿宋_GB2312" w:eastAsia="仿宋_GB2312"/>
          <w:color w:val="auto"/>
          <w:kern w:val="2"/>
          <w:sz w:val="24"/>
          <w:szCs w:val="24"/>
          <w:u w:val="none" w:color="auto"/>
          <w:lang w:val="en-US" w:eastAsia="zh-CN"/>
        </w:rPr>
        <w:t>CMA检测报告</w:t>
      </w:r>
      <w:r>
        <w:rPr>
          <w:rFonts w:hint="eastAsia" w:ascii="仿宋_GB2312" w:eastAsia="仿宋_GB2312"/>
          <w:color w:val="auto"/>
          <w:kern w:val="2"/>
          <w:sz w:val="24"/>
          <w:szCs w:val="24"/>
          <w:u w:val="none" w:color="auto"/>
        </w:rPr>
        <w:t>和</w:t>
      </w:r>
      <w:r>
        <w:rPr>
          <w:rFonts w:hint="eastAsia" w:ascii="仿宋_GB2312" w:eastAsia="仿宋_GB2312"/>
          <w:color w:val="auto"/>
          <w:kern w:val="2"/>
          <w:sz w:val="24"/>
          <w:szCs w:val="24"/>
          <w:u w:val="none" w:color="auto"/>
          <w:lang w:eastAsia="zh-CN"/>
        </w:rPr>
        <w:t>增值税专用</w:t>
      </w:r>
      <w:r>
        <w:rPr>
          <w:rFonts w:hint="eastAsia" w:ascii="仿宋_GB2312" w:eastAsia="仿宋_GB2312"/>
          <w:color w:val="auto"/>
          <w:kern w:val="2"/>
          <w:sz w:val="24"/>
          <w:szCs w:val="24"/>
          <w:u w:val="none" w:color="auto"/>
        </w:rPr>
        <w:t>发票后，于次月完成货款支付。</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0"/>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采购人不再对任何售后服务进行付费。供应商的派遣人员产生的一切费用由供应商承担。</w:t>
      </w:r>
    </w:p>
    <w:p>
      <w:pPr>
        <w:pStyle w:val="10"/>
        <w:widowControl w:val="0"/>
        <w:snapToGrid w:val="0"/>
        <w:spacing w:line="360" w:lineRule="auto"/>
        <w:ind w:firstLine="0"/>
        <w:rPr>
          <w:rFonts w:hint="eastAsia" w:ascii="仿宋_GB2312" w:eastAsia="仿宋_GB2312"/>
          <w:color w:val="auto"/>
          <w:kern w:val="2"/>
          <w:sz w:val="28"/>
          <w:szCs w:val="30"/>
          <w:u w:val="none" w:color="auto"/>
        </w:rPr>
      </w:pPr>
    </w:p>
    <w:p>
      <w:pPr>
        <w:pStyle w:val="2"/>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eastAsia"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1"/>
          <w:rFonts w:hint="eastAsia" w:ascii="仿宋_GB2312" w:eastAsia="仿宋_GB2312"/>
          <w:sz w:val="30"/>
        </w:rPr>
      </w:pPr>
      <w:r>
        <w:rPr>
          <w:rStyle w:val="11"/>
          <w:rFonts w:ascii="仿宋_GB2312" w:eastAsia="仿宋_GB2312"/>
          <w:sz w:val="30"/>
        </w:rPr>
        <w:br w:type="page"/>
      </w:r>
      <w:r>
        <w:rPr>
          <w:rStyle w:val="1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1"/>
          <w:rFonts w:hint="eastAsia"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1"/>
          <w:rFonts w:hint="eastAsia" w:ascii="仿宋_GB2312" w:eastAsia="仿宋_GB2312"/>
          <w:sz w:val="30"/>
        </w:rPr>
      </w:pPr>
      <w:r>
        <w:rPr>
          <w:rStyle w:val="11"/>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2"/>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根据贵单位询价文件要求，参加</w:t>
      </w:r>
      <w:r>
        <w:rPr>
          <w:rFonts w:hint="eastAsia" w:ascii="仿宋_GB2312" w:eastAsia="仿宋_GB2312"/>
          <w:sz w:val="24"/>
          <w:szCs w:val="24"/>
          <w:u w:val="single"/>
        </w:rPr>
        <w:t xml:space="preserve"> </w:t>
      </w:r>
      <w:r>
        <w:rPr>
          <w:rFonts w:hint="eastAsia" w:ascii="仿宋_GB2312" w:eastAsia="仿宋_GB2312"/>
          <w:sz w:val="24"/>
          <w:szCs w:val="24"/>
          <w:u w:val="single"/>
          <w:lang w:eastAsia="zh-CN"/>
        </w:rPr>
        <w:t>临江公司三固项目办公楼甲醛检测</w:t>
      </w:r>
      <w:r>
        <w:rPr>
          <w:rFonts w:hint="eastAsia" w:ascii="仿宋_GB2312" w:eastAsia="仿宋_GB2312"/>
          <w:sz w:val="24"/>
          <w:szCs w:val="24"/>
        </w:rPr>
        <w:t>，报价如下：（金额单位：元）</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tbl>
      <w:tblPr>
        <w:tblStyle w:val="6"/>
        <w:tblW w:w="916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900"/>
        <w:gridCol w:w="2750"/>
        <w:gridCol w:w="783"/>
        <w:gridCol w:w="717"/>
        <w:gridCol w:w="816"/>
        <w:gridCol w:w="85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900"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名称</w:t>
            </w:r>
          </w:p>
        </w:tc>
        <w:tc>
          <w:tcPr>
            <w:tcW w:w="2750" w:type="dxa"/>
            <w:noWrap w:val="0"/>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规格</w:t>
            </w:r>
          </w:p>
        </w:tc>
        <w:tc>
          <w:tcPr>
            <w:tcW w:w="783"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717"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w:t>
            </w:r>
          </w:p>
        </w:tc>
        <w:tc>
          <w:tcPr>
            <w:tcW w:w="816"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单价（元）</w:t>
            </w:r>
          </w:p>
        </w:tc>
        <w:tc>
          <w:tcPr>
            <w:tcW w:w="850" w:type="dxa"/>
            <w:noWrap/>
            <w:vAlign w:val="center"/>
          </w:tcPr>
          <w:p>
            <w:pPr>
              <w:widowControl/>
              <w:snapToGrid w:val="0"/>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总价（元）</w:t>
            </w:r>
          </w:p>
        </w:tc>
        <w:tc>
          <w:tcPr>
            <w:tcW w:w="1634" w:type="dxa"/>
            <w:noWrap/>
            <w:vAlign w:val="center"/>
          </w:tcPr>
          <w:p>
            <w:pPr>
              <w:widowControl/>
              <w:snapToGrid w:val="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dxa"/>
            <w:noWrap w:val="0"/>
            <w:vAlign w:val="center"/>
          </w:tcPr>
          <w:p>
            <w:pPr>
              <w:snapToGrid w:val="0"/>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1</w:t>
            </w:r>
          </w:p>
        </w:tc>
        <w:tc>
          <w:tcPr>
            <w:tcW w:w="900"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甲醛检测</w:t>
            </w:r>
          </w:p>
        </w:tc>
        <w:tc>
          <w:tcPr>
            <w:tcW w:w="2750" w:type="dxa"/>
            <w:noWrap w:val="0"/>
            <w:vAlign w:val="center"/>
          </w:tcPr>
          <w:p>
            <w:pPr>
              <w:pStyle w:val="10"/>
              <w:snapToGrid w:val="0"/>
              <w:spacing w:line="240" w:lineRule="auto"/>
              <w:ind w:left="0" w:leftChars="0" w:firstLine="0" w:firstLineChars="0"/>
              <w:rPr>
                <w:rFonts w:hint="default" w:ascii="仿宋_GB2312" w:hAnsi="宋体" w:eastAsia="仿宋_GB2312" w:cs="宋体"/>
                <w:color w:val="000000"/>
                <w:sz w:val="24"/>
                <w:szCs w:val="24"/>
                <w:lang w:val="en-US" w:eastAsia="zh-CN"/>
              </w:rPr>
            </w:pPr>
            <w:r>
              <w:rPr>
                <w:rFonts w:hint="eastAsia" w:ascii="仿宋_GB2312" w:eastAsia="仿宋_GB2312"/>
                <w:color w:val="auto"/>
                <w:kern w:val="2"/>
                <w:sz w:val="24"/>
                <w:szCs w:val="24"/>
                <w:u w:val="none" w:color="auto"/>
                <w:lang w:val="en-US" w:eastAsia="zh-CN"/>
              </w:rPr>
              <w:t>三固项目办公楼设有五层，其中，二层为办公层，四层为综合办公层，两层总办公区域面积约1290平方米。按平面分布图估算，甲醛检测点位20个，并出具CMA检测报告</w:t>
            </w:r>
          </w:p>
        </w:tc>
        <w:tc>
          <w:tcPr>
            <w:tcW w:w="783" w:type="dxa"/>
            <w:noWrap w:val="0"/>
            <w:vAlign w:val="center"/>
          </w:tcPr>
          <w:p>
            <w:pPr>
              <w:snapToGrid w:val="0"/>
              <w:jc w:val="center"/>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lang w:eastAsia="zh-CN"/>
              </w:rPr>
              <w:t>个</w:t>
            </w:r>
          </w:p>
        </w:tc>
        <w:tc>
          <w:tcPr>
            <w:tcW w:w="717" w:type="dxa"/>
            <w:noWrap w:val="0"/>
            <w:vAlign w:val="center"/>
          </w:tcPr>
          <w:p>
            <w:pPr>
              <w:snapToGrid w:val="0"/>
              <w:jc w:val="center"/>
              <w:rPr>
                <w:rFonts w:hint="default" w:ascii="仿宋_GB2312" w:hAnsi="宋体" w:eastAsia="仿宋_GB2312" w:cs="宋体"/>
                <w:color w:val="000000"/>
                <w:sz w:val="24"/>
                <w:szCs w:val="24"/>
                <w:lang w:val="en-US"/>
              </w:rPr>
            </w:pPr>
            <w:r>
              <w:rPr>
                <w:rFonts w:hint="eastAsia" w:ascii="仿宋_GB2312" w:hAnsi="宋体" w:eastAsia="仿宋_GB2312" w:cs="宋体"/>
                <w:color w:val="000000"/>
                <w:sz w:val="24"/>
                <w:szCs w:val="24"/>
                <w:lang w:val="en-US" w:eastAsia="zh-CN"/>
              </w:rPr>
              <w:t>20</w:t>
            </w:r>
          </w:p>
        </w:tc>
        <w:tc>
          <w:tcPr>
            <w:tcW w:w="816"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850" w:type="dxa"/>
            <w:noWrap w:val="0"/>
            <w:vAlign w:val="center"/>
          </w:tcPr>
          <w:p>
            <w:pPr>
              <w:snapToGrid w:val="0"/>
              <w:jc w:val="center"/>
              <w:rPr>
                <w:rFonts w:hint="eastAsia" w:ascii="仿宋_GB2312" w:hAnsi="宋体" w:eastAsia="仿宋_GB2312" w:cs="宋体"/>
                <w:color w:val="000000"/>
                <w:sz w:val="24"/>
                <w:szCs w:val="24"/>
                <w:lang w:val="en-US" w:eastAsia="zh-CN"/>
              </w:rPr>
            </w:pPr>
          </w:p>
        </w:tc>
        <w:tc>
          <w:tcPr>
            <w:tcW w:w="1634" w:type="dxa"/>
            <w:noWrap w:val="0"/>
            <w:vAlign w:val="center"/>
          </w:tcPr>
          <w:p>
            <w:pPr>
              <w:widowControl/>
              <w:snapToGrid w:val="0"/>
              <w:jc w:val="center"/>
              <w:rPr>
                <w:rFonts w:hint="default" w:ascii="仿宋_GB2312" w:hAnsi="宋体" w:eastAsia="仿宋_GB2312" w:cs="宋体"/>
                <w:kern w:val="0"/>
                <w:sz w:val="24"/>
                <w:szCs w:val="24"/>
                <w:lang w:val="en-US" w:eastAsia="zh-CN"/>
              </w:rPr>
            </w:pPr>
          </w:p>
        </w:tc>
      </w:tr>
    </w:tbl>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本项目报价为一次性报价，包含全部的工时费、税费等一切费用。</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5D22118"/>
    <w:rsid w:val="06057AB3"/>
    <w:rsid w:val="07586B3D"/>
    <w:rsid w:val="1297576D"/>
    <w:rsid w:val="1DFD212A"/>
    <w:rsid w:val="267104D7"/>
    <w:rsid w:val="26F76768"/>
    <w:rsid w:val="2AC220DE"/>
    <w:rsid w:val="2ADB5E21"/>
    <w:rsid w:val="3E16524F"/>
    <w:rsid w:val="48C725A7"/>
    <w:rsid w:val="4EFC1541"/>
    <w:rsid w:val="54E602CD"/>
    <w:rsid w:val="5AC36EA4"/>
    <w:rsid w:val="5DFD7097"/>
    <w:rsid w:val="65182D8C"/>
    <w:rsid w:val="6B981986"/>
    <w:rsid w:val="6C714475"/>
    <w:rsid w:val="74037D7E"/>
    <w:rsid w:val="77D476E8"/>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39"/>
    <w:pPr>
      <w:spacing w:before="120" w:beforeLines="0" w:beforeAutospacing="0" w:after="120" w:afterLines="0" w:afterAutospacing="0"/>
      <w:jc w:val="left"/>
    </w:pPr>
    <w:rPr>
      <w:b/>
      <w:caps/>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1">
    <w:name w:val="标题 1 Char Char"/>
    <w:qFormat/>
    <w:uiPriority w:val="0"/>
    <w:rPr>
      <w:rFonts w:eastAsia="宋体"/>
      <w:b/>
      <w:spacing w:val="-2"/>
      <w:sz w:val="24"/>
      <w:lang w:val="en-US" w:eastAsia="zh-CN"/>
    </w:rPr>
  </w:style>
  <w:style w:type="paragraph" w:customStyle="1" w:styleId="12">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54</cp:lastModifiedBy>
  <cp:lastPrinted>2020-11-27T08:14:00Z</cp:lastPrinted>
  <dcterms:modified xsi:type="dcterms:W3CDTF">2021-02-19T03:08:41Z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