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2021030</w:t>
      </w:r>
      <w:r>
        <w:rPr>
          <w:rFonts w:hint="eastAsia" w:ascii="仿宋_GB2312" w:hAnsi="宋体" w:eastAsia="仿宋_GB2312"/>
          <w:sz w:val="32"/>
          <w:szCs w:val="32"/>
          <w:u w:val="single"/>
          <w:lang w:val="en-US" w:eastAsia="zh-CN"/>
        </w:rPr>
        <w:t>15</w:t>
      </w:r>
    </w:p>
    <w:p>
      <w:pPr>
        <w:spacing w:line="360" w:lineRule="auto"/>
        <w:jc w:val="center"/>
        <w:rPr>
          <w:rFonts w:ascii="仿宋_GB2312" w:hAnsi="宋体" w:eastAsia="仿宋_GB2312"/>
          <w:sz w:val="32"/>
          <w:szCs w:val="32"/>
          <w:u w:val="single"/>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2021年</w:t>
      </w:r>
      <w:r>
        <w:rPr>
          <w:rFonts w:hint="eastAsia" w:ascii="仿宋_GB2312" w:hAnsi="宋体" w:eastAsia="仿宋_GB2312"/>
          <w:sz w:val="32"/>
          <w:szCs w:val="32"/>
          <w:u w:val="single"/>
        </w:rPr>
        <w:t>临江公司三固项目年度委外检测服务</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二○二一年三月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2"/>
          <w:rFonts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2"/>
          <w:rFonts w:hint="eastAsia" w:ascii="仿宋_GB2312" w:eastAsia="仿宋_GB2312"/>
          <w:sz w:val="32"/>
          <w:szCs w:val="32"/>
        </w:rPr>
        <w:t>第一部分  招标公告</w:t>
      </w:r>
      <w:bookmarkStart w:id="2" w:name="_Hlt509229879"/>
      <w:r>
        <w:rPr>
          <w:rStyle w:val="12"/>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2"/>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2"/>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2"/>
          <w:rFonts w:hint="eastAsia" w:ascii="仿宋_GB2312" w:eastAsia="仿宋_GB2312"/>
          <w:sz w:val="32"/>
          <w:szCs w:val="32"/>
        </w:rPr>
        <w:t xml:space="preserve">第二部分  </w:t>
      </w:r>
      <w:bookmarkStart w:id="4" w:name="_Hlt509230069"/>
      <w:bookmarkStart w:id="5" w:name="_Hlt509229880"/>
      <w:r>
        <w:rPr>
          <w:rStyle w:val="12"/>
          <w:rFonts w:hint="eastAsia" w:ascii="仿宋_GB2312" w:eastAsia="仿宋_GB2312"/>
          <w:sz w:val="32"/>
          <w:szCs w:val="32"/>
        </w:rPr>
        <w:t>投标须知前附表及投标须知</w:t>
      </w:r>
      <w:bookmarkStart w:id="6" w:name="_Hlt3475374"/>
      <w:bookmarkStart w:id="7" w:name="_Hlt3475373"/>
      <w:r>
        <w:rPr>
          <w:rStyle w:val="12"/>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2"/>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2"/>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2"/>
          <w:rFonts w:hint="eastAsia" w:ascii="仿宋_GB2312" w:eastAsia="仿宋_GB2312"/>
          <w:spacing w:val="-2"/>
          <w:sz w:val="32"/>
          <w:szCs w:val="32"/>
        </w:rPr>
        <w:t xml:space="preserve">第三部分  </w:t>
      </w:r>
      <w:bookmarkStart w:id="8" w:name="_Hlt509230077"/>
      <w:r>
        <w:rPr>
          <w:rStyle w:val="12"/>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2"/>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2"/>
          <w:rFonts w:hint="eastAsia" w:ascii="仿宋_GB2312" w:eastAsia="仿宋_GB2312"/>
          <w:sz w:val="32"/>
          <w:szCs w:val="32"/>
        </w:rPr>
        <w:t xml:space="preserve">第五部分  </w:t>
      </w:r>
      <w:bookmarkStart w:id="11" w:name="_Hlt509230090"/>
      <w:bookmarkStart w:id="12" w:name="_Hlt509229878"/>
      <w:bookmarkStart w:id="13" w:name="_Hlt509229877"/>
      <w:r>
        <w:rPr>
          <w:rStyle w:val="12"/>
          <w:rFonts w:hint="eastAsia" w:ascii="仿宋_GB2312" w:eastAsia="仿宋_GB2312"/>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5"/>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rPr>
      </w:pPr>
      <w:bookmarkStart w:id="14" w:name="_Toc509229818"/>
      <w:bookmarkStart w:id="15" w:name="_Toc509228292"/>
      <w:bookmarkStart w:id="16" w:name="_Toc473012590"/>
      <w:r>
        <w:rPr>
          <w:rStyle w:val="13"/>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就临江公司三固项目年度委外检测服务进行公开招标，欢迎符合要求的投标人参加投标。</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要求按照国家标准中规定的检测方法，精准地完成项目检测服务，并出具检测报告及数据分析报告。</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最高限价：75万元。</w:t>
      </w:r>
    </w:p>
    <w:p>
      <w:pPr>
        <w:pStyle w:val="4"/>
        <w:spacing w:line="360" w:lineRule="auto"/>
        <w:ind w:firstLine="480"/>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三、投标人的资格要求。</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1.在中华人民共和国境内注册，具有独立法人资格和履行合同能力，注册资金在人民币1000万元（含）以上；</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2.须具备省级及以上质监部门颁发的在有效期内的检验检测机构资质认定证书（CMA），须出具合法有效的检测报告（最多只允许5种指标分包，如有分包，投标人须列明分包项，且分包单位须出具合法有效的检测报告）；</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3.投标人自2018年1月1日以来承担过杭州地区区级及以上环保局或监测站委托的5个以上的环境检测类的项目（需提供合同复印件）；</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4.投标人须在杭州地区范围内拥有独立实验室，工作场所面积不少于1000平方米；</w:t>
      </w:r>
    </w:p>
    <w:p>
      <w:pPr>
        <w:widowControl/>
        <w:spacing w:line="360" w:lineRule="auto"/>
        <w:ind w:firstLine="480" w:firstLineChars="200"/>
        <w:jc w:val="left"/>
        <w:rPr>
          <w:rFonts w:ascii="仿宋_GB2312" w:hAnsi="宋体" w:eastAsia="仿宋_GB2312"/>
          <w:sz w:val="24"/>
          <w:szCs w:val="24"/>
        </w:rPr>
      </w:pPr>
      <w:r>
        <w:rPr>
          <w:rFonts w:hint="eastAsia" w:ascii="仿宋_GB2312" w:hAnsi="宋体" w:eastAsia="仿宋_GB2312"/>
          <w:sz w:val="24"/>
          <w:szCs w:val="24"/>
        </w:rPr>
        <w:t>5.投标人在“信用中国”（www.creditchina.gov.cn）、中国政府采购网（www.ccgp.gov.cn）等其它官方网站没有被列入失信被执行人、重大税收违法案件当事人名单、政府采购严重违法失信行为记录名单、有责合同纠纷等不良记录；</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6.本项目不接受联合体投标。</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2021年</w:t>
      </w:r>
      <w:bookmarkEnd w:id="17"/>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30</w:t>
      </w:r>
      <w:r>
        <w:rPr>
          <w:rFonts w:hint="eastAsia" w:ascii="仿宋_GB2312" w:hAnsi="仿宋_GB2312" w:eastAsia="仿宋_GB2312" w:cs="仿宋_GB2312"/>
          <w:sz w:val="24"/>
          <w:szCs w:val="24"/>
        </w:rPr>
        <w:t>日至2021年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rPr>
        <w:t>646269796@</w:t>
      </w:r>
      <w:r>
        <w:rPr>
          <w:rFonts w:hint="eastAsia" w:ascii="仿宋_GB2312" w:hAnsi="仿宋_GB2312" w:eastAsia="仿宋_GB2312" w:cs="仿宋_GB2312"/>
          <w:b/>
          <w:sz w:val="24"/>
          <w:szCs w:val="24"/>
        </w:rPr>
        <w:t xml:space="preserve"> qq.com，同时和工作人员胡工（电话：15700099079）联系、确认。</w:t>
      </w:r>
    </w:p>
    <w:p>
      <w:pPr>
        <w:pStyle w:val="4"/>
        <w:spacing w:line="360" w:lineRule="auto"/>
        <w:ind w:firstLine="506" w:firstLineChars="210"/>
        <w:rPr>
          <w:rFonts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4"/>
        <w:spacing w:line="360" w:lineRule="auto"/>
        <w:ind w:firstLine="506" w:firstLineChars="210"/>
        <w:rPr>
          <w:rFonts w:ascii="仿宋_GB2312" w:hAnsi="仿宋" w:eastAsia="仿宋_GB2312"/>
          <w:b/>
          <w:sz w:val="24"/>
          <w:szCs w:val="24"/>
        </w:rPr>
      </w:pPr>
      <w:r>
        <w:rPr>
          <w:rFonts w:hint="eastAsia" w:ascii="仿宋_GB2312" w:hAnsi="仿宋" w:eastAsia="仿宋_GB2312"/>
          <w:b/>
          <w:sz w:val="24"/>
          <w:szCs w:val="24"/>
        </w:rPr>
        <w:t>5、招标文件获取：杭州临江环境能源有限公司官网下载。</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1、投标截止时间：2021年</w:t>
      </w:r>
      <w:r>
        <w:rPr>
          <w:rFonts w:hint="eastAsia" w:ascii="仿宋_GB2312" w:hAnsi="宋体" w:eastAsia="仿宋_GB2312"/>
          <w:sz w:val="24"/>
          <w:szCs w:val="24"/>
          <w:lang w:val="en-US" w:eastAsia="zh-CN"/>
        </w:rPr>
        <w:t>4</w:t>
      </w:r>
      <w:r>
        <w:rPr>
          <w:rFonts w:hint="eastAsia" w:ascii="仿宋_GB2312" w:hAnsi="宋体" w:eastAsia="仿宋_GB2312"/>
          <w:sz w:val="24"/>
          <w:szCs w:val="24"/>
        </w:rPr>
        <w:t>月</w:t>
      </w:r>
      <w:r>
        <w:rPr>
          <w:rFonts w:hint="eastAsia" w:ascii="仿宋_GB2312" w:hAnsi="宋体" w:eastAsia="仿宋_GB2312"/>
          <w:sz w:val="24"/>
          <w:szCs w:val="24"/>
          <w:lang w:val="en-US" w:eastAsia="zh-CN"/>
        </w:rPr>
        <w:t>13</w:t>
      </w:r>
      <w:r>
        <w:rPr>
          <w:rFonts w:hint="eastAsia" w:ascii="仿宋_GB2312" w:hAnsi="宋体" w:eastAsia="仿宋_GB2312"/>
          <w:sz w:val="24"/>
          <w:szCs w:val="24"/>
        </w:rPr>
        <w:t>日10:00。</w:t>
      </w:r>
    </w:p>
    <w:p>
      <w:pPr>
        <w:pStyle w:val="18"/>
        <w:widowControl/>
        <w:spacing w:line="360" w:lineRule="auto"/>
        <w:ind w:firstLine="480"/>
        <w:jc w:val="left"/>
        <w:rPr>
          <w:rFonts w:ascii="仿宋_GB2312" w:hAnsi="宋体" w:eastAsia="仿宋_GB2312"/>
          <w:sz w:val="24"/>
          <w:szCs w:val="24"/>
        </w:rPr>
      </w:pPr>
      <w:r>
        <w:rPr>
          <w:rFonts w:hint="eastAsia" w:ascii="仿宋_GB2312" w:hAnsi="宋体" w:eastAsia="仿宋_GB2312"/>
          <w:sz w:val="24"/>
          <w:szCs w:val="24"/>
        </w:rPr>
        <w:t>2、投标地点：杭州临江环境能源有限公司投资部（杭州临江循环经济产业园）。</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4"/>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日 10:00</w:t>
      </w:r>
      <w:r>
        <w:rPr>
          <w:rFonts w:hint="eastAsia" w:ascii="仿宋_GB2312" w:hAnsi="仿宋" w:eastAsia="仿宋_GB2312"/>
          <w:sz w:val="24"/>
          <w:szCs w:val="24"/>
        </w:rPr>
        <w:t>。</w:t>
      </w:r>
    </w:p>
    <w:p>
      <w:pPr>
        <w:pStyle w:val="4"/>
        <w:spacing w:line="360" w:lineRule="auto"/>
        <w:ind w:firstLine="504" w:firstLineChars="210"/>
        <w:rPr>
          <w:rFonts w:ascii="仿宋_GB2312" w:hAnsi="仿宋_GB2312" w:eastAsia="仿宋_GB2312" w:cs="仿宋_GB2312"/>
          <w:color w:val="000000"/>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color w:val="000000"/>
          <w:sz w:val="24"/>
          <w:szCs w:val="24"/>
        </w:rPr>
        <w:t>：杭州临江环境能源有限公司会议室（杭州临江循环经济产业园）。</w:t>
      </w:r>
    </w:p>
    <w:p>
      <w:pPr>
        <w:pStyle w:val="4"/>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3、相关要求：根据新型冠状病毒疫情防控工作要求，为确保本项目公开招标工作有序开展，防止人员聚集引发疫情扩散，经研究决定如下：</w:t>
      </w:r>
    </w:p>
    <w:p>
      <w:pPr>
        <w:pStyle w:val="4"/>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3.1谢绝疫情重点地区人员参与开标活动；</w:t>
      </w:r>
    </w:p>
    <w:p>
      <w:pPr>
        <w:pStyle w:val="4"/>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w:t>
      </w:r>
      <w:r>
        <w:rPr>
          <w:rFonts w:hint="eastAsia" w:ascii="仿宋_GB2312" w:hAnsi="仿宋_GB2312" w:eastAsia="仿宋_GB2312" w:cs="仿宋_GB2312"/>
          <w:b/>
          <w:sz w:val="24"/>
          <w:szCs w:val="24"/>
          <w:lang w:val="en-US" w:eastAsia="zh-CN"/>
        </w:rPr>
        <w:t>2</w:t>
      </w:r>
      <w:r>
        <w:rPr>
          <w:rFonts w:hint="eastAsia" w:ascii="仿宋_GB2312" w:hAnsi="仿宋_GB2312" w:eastAsia="仿宋_GB2312" w:cs="仿宋_GB2312"/>
          <w:b/>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4"/>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4"/>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前期部：胡工         联系电话：</w:t>
      </w:r>
      <w:r>
        <w:rPr>
          <w:rFonts w:hint="eastAsia" w:ascii="仿宋_GB2312" w:hAnsi="仿宋_GB2312" w:eastAsia="仿宋_GB2312" w:cs="仿宋_GB2312"/>
          <w:sz w:val="24"/>
          <w:szCs w:val="24"/>
        </w:rPr>
        <w:t>15700099079</w:t>
      </w:r>
      <w:r>
        <w:rPr>
          <w:rFonts w:hint="eastAsia" w:ascii="仿宋_GB2312" w:hAnsi="仿宋" w:eastAsia="仿宋_GB2312"/>
          <w:sz w:val="24"/>
          <w:szCs w:val="24"/>
        </w:rPr>
        <w:t xml:space="preserve">                 </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646269796</w:t>
      </w:r>
      <w:r>
        <w:rPr>
          <w:rFonts w:hint="eastAsia" w:ascii="仿宋_GB2312" w:hAnsi="仿宋" w:eastAsia="仿宋_GB2312"/>
          <w:sz w:val="24"/>
          <w:szCs w:val="24"/>
        </w:rPr>
        <w:t>@qq.com</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监督部门：范波      联系电话：13867172350</w:t>
      </w:r>
    </w:p>
    <w:p>
      <w:pPr>
        <w:pStyle w:val="4"/>
        <w:spacing w:line="360" w:lineRule="auto"/>
        <w:ind w:firstLine="0"/>
        <w:rPr>
          <w:rFonts w:ascii="仿宋_GB2312" w:hAnsi="宋体" w:eastAsia="仿宋_GB2312"/>
          <w:sz w:val="24"/>
          <w:szCs w:val="24"/>
        </w:rPr>
      </w:pP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杭州临江环境能源有限公司</w:t>
      </w:r>
      <w:r>
        <w:rPr>
          <w:rFonts w:ascii="仿宋_GB2312" w:hAnsi="宋体" w:eastAsia="仿宋_GB2312"/>
          <w:sz w:val="24"/>
          <w:szCs w:val="24"/>
        </w:rPr>
        <w:t xml:space="preserve">   </w:t>
      </w:r>
    </w:p>
    <w:p>
      <w:pPr>
        <w:pStyle w:val="4"/>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r>
        <w:rPr>
          <w:rFonts w:ascii="仿宋_GB2312" w:hAnsi="宋体" w:eastAsia="仿宋_GB2312"/>
          <w:sz w:val="24"/>
          <w:szCs w:val="24"/>
        </w:rPr>
        <w:t>202</w:t>
      </w:r>
      <w:r>
        <w:rPr>
          <w:rFonts w:hint="eastAsia" w:ascii="仿宋_GB2312" w:hAnsi="宋体" w:eastAsia="仿宋_GB2312"/>
          <w:sz w:val="24"/>
          <w:szCs w:val="24"/>
        </w:rPr>
        <w:t>1年</w:t>
      </w:r>
      <w:r>
        <w:rPr>
          <w:rFonts w:hint="eastAsia" w:ascii="仿宋_GB2312" w:hAnsi="宋体" w:eastAsia="仿宋_GB2312"/>
          <w:sz w:val="24"/>
          <w:szCs w:val="24"/>
          <w:lang w:val="en-US" w:eastAsia="zh-CN"/>
        </w:rPr>
        <w:t>3</w:t>
      </w:r>
      <w:r>
        <w:rPr>
          <w:rFonts w:hint="eastAsia" w:ascii="仿宋_GB2312" w:hAnsi="宋体" w:eastAsia="仿宋_GB2312"/>
          <w:sz w:val="24"/>
          <w:szCs w:val="24"/>
        </w:rPr>
        <w:t>月</w:t>
      </w:r>
      <w:r>
        <w:rPr>
          <w:rFonts w:hint="eastAsia" w:ascii="仿宋_GB2312" w:hAnsi="宋体" w:eastAsia="仿宋_GB2312"/>
          <w:sz w:val="24"/>
          <w:szCs w:val="24"/>
          <w:lang w:val="en-US" w:eastAsia="zh-CN"/>
        </w:rPr>
        <w:t>30</w:t>
      </w:r>
      <w:r>
        <w:rPr>
          <w:rFonts w:hint="eastAsia" w:ascii="仿宋_GB2312" w:hAnsi="宋体" w:eastAsia="仿宋_GB2312"/>
          <w:sz w:val="24"/>
          <w:szCs w:val="24"/>
        </w:rPr>
        <w:t>日</w:t>
      </w:r>
    </w:p>
    <w:p>
      <w:pPr>
        <w:widowControl/>
        <w:shd w:val="clear" w:color="auto" w:fill="FFFFFF"/>
        <w:jc w:val="left"/>
        <w:rPr>
          <w:rFonts w:ascii="黑体" w:hAnsi="黑体" w:eastAsia="黑体" w:cs="宋体"/>
          <w:b/>
          <w:color w:val="333333"/>
          <w:spacing w:val="8"/>
          <w:kern w:val="0"/>
          <w:sz w:val="32"/>
          <w:szCs w:val="32"/>
        </w:rPr>
      </w:pPr>
      <w:r>
        <w:rPr>
          <w:rFonts w:ascii="仿宋_GB2312" w:hAnsi="宋体" w:eastAsia="仿宋_GB2312"/>
          <w:sz w:val="24"/>
          <w:szCs w:val="24"/>
        </w:rPr>
        <w:br w:type="page"/>
      </w:r>
      <w:r>
        <w:rPr>
          <w:rFonts w:hint="eastAsia" w:ascii="黑体" w:hAnsi="黑体" w:eastAsia="黑体" w:cs="宋体"/>
          <w:b/>
          <w:color w:val="333333"/>
          <w:spacing w:val="8"/>
          <w:kern w:val="0"/>
          <w:sz w:val="32"/>
          <w:szCs w:val="32"/>
        </w:rPr>
        <w:t>附件：</w:t>
      </w:r>
    </w:p>
    <w:p>
      <w:pPr>
        <w:jc w:val="center"/>
        <w:rPr>
          <w:rFonts w:ascii="微软雅黑" w:hAnsi="微软雅黑" w:eastAsia="微软雅黑"/>
          <w:b/>
          <w:color w:val="333333"/>
          <w:sz w:val="32"/>
          <w:szCs w:val="32"/>
          <w:shd w:val="clear" w:color="auto" w:fill="FFFFFF"/>
        </w:rPr>
      </w:pPr>
      <w:r>
        <w:rPr>
          <w:rFonts w:hint="eastAsia" w:ascii="微软雅黑" w:hAnsi="微软雅黑" w:eastAsia="微软雅黑"/>
          <w:b/>
          <w:color w:val="333333"/>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333333"/>
          <w:sz w:val="28"/>
          <w:szCs w:val="28"/>
          <w:shd w:val="clear" w:color="auto" w:fill="FFFFFF"/>
        </w:rPr>
      </w:pP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（四）杭州健康码显示为绿色。</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color w:val="333333"/>
          <w:spacing w:val="8"/>
          <w:kern w:val="0"/>
          <w:sz w:val="32"/>
          <w:szCs w:val="32"/>
        </w:rPr>
        <w:t>承诺时间：</w:t>
      </w:r>
      <w:r>
        <w:rPr>
          <w:rFonts w:hint="eastAsia" w:ascii="微软雅黑" w:hAnsi="微软雅黑" w:eastAsia="微软雅黑"/>
          <w:color w:val="333333"/>
          <w:sz w:val="28"/>
          <w:szCs w:val="28"/>
        </w:rPr>
        <w:br w:type="textWrapping"/>
      </w:r>
    </w:p>
    <w:p>
      <w:pPr>
        <w:pStyle w:val="4"/>
        <w:spacing w:line="360" w:lineRule="auto"/>
        <w:ind w:firstLine="504" w:firstLineChars="210"/>
        <w:rPr>
          <w:rFonts w:ascii="仿宋_GB2312" w:hAnsi="宋体" w:eastAsia="仿宋_GB2312"/>
          <w:sz w:val="24"/>
          <w:szCs w:val="24"/>
        </w:rPr>
      </w:pP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spacing w:val="0"/>
          <w:sz w:val="44"/>
          <w:lang w:val="en-GB"/>
        </w:rPr>
      </w:pPr>
      <w:bookmarkStart w:id="19" w:name="page5"/>
      <w:bookmarkEnd w:id="19"/>
      <w:bookmarkStart w:id="20" w:name="_Toc509228318"/>
      <w:bookmarkStart w:id="21" w:name="_Toc509229844"/>
      <w:r>
        <w:rPr>
          <w:rStyle w:val="13"/>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spacing w:val="0"/>
          <w:sz w:val="44"/>
          <w:lang w:val="en-GB"/>
        </w:rPr>
        <w:t>第二</w:t>
      </w:r>
      <w:r>
        <w:rPr>
          <w:rStyle w:val="13"/>
          <w:rFonts w:hint="eastAsia" w:ascii="仿宋_GB2312" w:eastAsia="仿宋_GB2312"/>
          <w:b/>
          <w:spacing w:val="0"/>
          <w:sz w:val="44"/>
          <w:lang w:val="en-GB"/>
        </w:rPr>
        <w:t xml:space="preserve">部分 </w:t>
      </w:r>
      <w:r>
        <w:rPr>
          <w:rStyle w:val="13"/>
          <w:rFonts w:ascii="仿宋_GB2312" w:eastAsia="仿宋_GB2312"/>
          <w:b/>
          <w:spacing w:val="0"/>
          <w:sz w:val="44"/>
          <w:lang w:val="en-GB"/>
        </w:rPr>
        <w:t xml:space="preserve"> </w:t>
      </w:r>
      <w:bookmarkEnd w:id="20"/>
      <w:bookmarkEnd w:id="21"/>
      <w:r>
        <w:rPr>
          <w:rStyle w:val="13"/>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lang w:val="en-US" w:eastAsia="zh-CN"/>
              </w:rPr>
              <w:t>2021年</w:t>
            </w:r>
            <w:bookmarkStart w:id="49" w:name="_GoBack"/>
            <w:r>
              <w:rPr>
                <w:rFonts w:hint="eastAsia" w:ascii="仿宋_GB2312" w:eastAsia="仿宋_GB2312"/>
                <w:sz w:val="24"/>
                <w:szCs w:val="24"/>
              </w:rPr>
              <w:t>临江公司</w:t>
            </w:r>
            <w:bookmarkEnd w:id="49"/>
            <w:r>
              <w:rPr>
                <w:rFonts w:hint="eastAsia" w:ascii="仿宋_GB2312" w:eastAsia="仿宋_GB2312"/>
                <w:sz w:val="24"/>
                <w:szCs w:val="24"/>
              </w:rPr>
              <w:t>三固项目年度委外检测服务</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rPr>
              <w:t xml:space="preserve"> 2021030</w:t>
            </w:r>
            <w:r>
              <w:rPr>
                <w:rFonts w:hint="eastAsia" w:ascii="仿宋_GB2312" w:eastAsia="仿宋_GB2312"/>
                <w:sz w:val="24"/>
                <w:szCs w:val="24"/>
                <w:u w:val="single"/>
                <w:lang w:val="en-US" w:eastAsia="zh-CN"/>
              </w:rPr>
              <w:t>15</w:t>
            </w:r>
            <w:r>
              <w:rPr>
                <w:rFonts w:hint="eastAsia" w:ascii="仿宋_GB2312" w:eastAsia="仿宋_GB2312"/>
                <w:sz w:val="24"/>
                <w:szCs w:val="24"/>
                <w:u w:val="single"/>
              </w:rPr>
              <w:t xml:space="preserve"> </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bookmarkStart w:id="25" w:name="_Toc509228352"/>
            <w:r>
              <w:rPr>
                <w:rFonts w:hint="eastAsia" w:ascii="仿宋_GB2312" w:eastAsia="仿宋_GB2312"/>
                <w:sz w:val="24"/>
                <w:szCs w:val="24"/>
              </w:rPr>
              <w:t>投标</w:t>
            </w:r>
            <w:r>
              <w:rPr>
                <w:rFonts w:ascii="仿宋_GB2312" w:eastAsia="仿宋_GB2312"/>
                <w:sz w:val="24"/>
                <w:szCs w:val="24"/>
              </w:rPr>
              <w:t>费用</w:t>
            </w:r>
            <w:bookmarkEnd w:id="25"/>
          </w:p>
        </w:tc>
        <w:tc>
          <w:tcPr>
            <w:tcW w:w="5906" w:type="dxa"/>
          </w:tcPr>
          <w:p>
            <w:pPr>
              <w:spacing w:line="360" w:lineRule="auto"/>
              <w:jc w:val="left"/>
              <w:outlineLvl w:val="1"/>
              <w:rPr>
                <w:rFonts w:ascii="仿宋_GB2312" w:eastAsia="仿宋_GB2312"/>
                <w:sz w:val="24"/>
                <w:szCs w:val="24"/>
              </w:rPr>
            </w:pPr>
            <w:bookmarkStart w:id="26"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7" w:name="_Toc509228355"/>
            <w:r>
              <w:rPr>
                <w:rFonts w:hint="eastAsia" w:ascii="仿宋_GB2312" w:eastAsia="仿宋_GB2312"/>
                <w:sz w:val="24"/>
                <w:szCs w:val="24"/>
              </w:rPr>
              <w:t>最高</w:t>
            </w:r>
            <w:r>
              <w:rPr>
                <w:rFonts w:ascii="仿宋_GB2312" w:eastAsia="仿宋_GB2312"/>
                <w:sz w:val="24"/>
                <w:szCs w:val="24"/>
              </w:rPr>
              <w:t>限价</w:t>
            </w:r>
            <w:bookmarkEnd w:id="27"/>
          </w:p>
        </w:tc>
        <w:tc>
          <w:tcPr>
            <w:tcW w:w="5906" w:type="dxa"/>
          </w:tcPr>
          <w:p>
            <w:pPr>
              <w:pStyle w:val="4"/>
              <w:spacing w:line="360" w:lineRule="auto"/>
              <w:ind w:firstLine="0"/>
              <w:rPr>
                <w:rFonts w:ascii="仿宋_GB2312" w:eastAsia="仿宋_GB2312"/>
                <w:sz w:val="24"/>
                <w:szCs w:val="24"/>
              </w:rPr>
            </w:pPr>
            <w:r>
              <w:rPr>
                <w:rFonts w:hint="eastAsia" w:ascii="仿宋_GB2312" w:hAnsi="宋体" w:eastAsia="仿宋_GB2312"/>
                <w:sz w:val="24"/>
                <w:szCs w:val="24"/>
              </w:rPr>
              <w:t>75万元（含税）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bookmarkStart w:id="28" w:name="_Toc509228358"/>
            <w:r>
              <w:rPr>
                <w:rFonts w:hint="eastAsia" w:ascii="仿宋_GB2312" w:eastAsia="仿宋_GB2312"/>
                <w:sz w:val="24"/>
                <w:szCs w:val="24"/>
              </w:rPr>
              <w:t>投标</w:t>
            </w:r>
            <w:r>
              <w:rPr>
                <w:rFonts w:ascii="仿宋_GB2312" w:eastAsia="仿宋_GB2312"/>
                <w:sz w:val="24"/>
                <w:szCs w:val="24"/>
              </w:rPr>
              <w:t>保证金</w:t>
            </w:r>
            <w:bookmarkEnd w:id="28"/>
          </w:p>
        </w:tc>
        <w:tc>
          <w:tcPr>
            <w:tcW w:w="5906" w:type="dxa"/>
          </w:tcPr>
          <w:p>
            <w:pPr>
              <w:numPr>
                <w:ilvl w:val="0"/>
                <w:numId w:val="2"/>
              </w:numPr>
              <w:spacing w:line="360" w:lineRule="auto"/>
              <w:ind w:left="0" w:firstLine="0"/>
              <w:jc w:val="left"/>
              <w:rPr>
                <w:rFonts w:ascii="仿宋_GB2312" w:hAnsi="宋体" w:eastAsia="仿宋_GB2312"/>
                <w:sz w:val="24"/>
                <w:szCs w:val="24"/>
              </w:rPr>
            </w:pPr>
            <w:bookmarkStart w:id="29" w:name="_Toc509228359"/>
            <w:r>
              <w:rPr>
                <w:rFonts w:hint="eastAsia" w:ascii="仿宋_GB2312" w:hAnsi="宋体" w:eastAsia="仿宋_GB2312"/>
                <w:sz w:val="24"/>
                <w:szCs w:val="24"/>
              </w:rPr>
              <w:t>本招标项目投标保证金为15000元（大写</w:t>
            </w:r>
            <w:r>
              <w:rPr>
                <w:rFonts w:ascii="仿宋_GB2312" w:hAnsi="宋体" w:eastAsia="仿宋_GB2312"/>
                <w:sz w:val="24"/>
                <w:szCs w:val="24"/>
              </w:rPr>
              <w:t>：</w:t>
            </w:r>
            <w:r>
              <w:rPr>
                <w:rFonts w:hint="eastAsia" w:ascii="仿宋_GB2312" w:hAnsi="宋体" w:eastAsia="仿宋_GB2312"/>
                <w:sz w:val="24"/>
                <w:szCs w:val="24"/>
              </w:rPr>
              <w:t>壹万伍仟整），</w:t>
            </w:r>
            <w:r>
              <w:rPr>
                <w:rFonts w:hint="eastAsia" w:ascii="仿宋_GB2312" w:hAnsi="宋体" w:eastAsia="仿宋_GB2312"/>
                <w:b/>
                <w:bCs/>
                <w:sz w:val="24"/>
                <w:szCs w:val="24"/>
              </w:rPr>
              <w:t>打款信息</w:t>
            </w:r>
            <w:r>
              <w:rPr>
                <w:rFonts w:hint="eastAsia" w:ascii="仿宋_GB2312" w:hAnsi="宋体" w:eastAsia="仿宋_GB2312"/>
                <w:b/>
                <w:bCs/>
                <w:color w:val="auto"/>
                <w:sz w:val="24"/>
                <w:szCs w:val="24"/>
              </w:rPr>
              <w:t>需</w:t>
            </w:r>
            <w:r>
              <w:rPr>
                <w:rFonts w:hint="eastAsia" w:ascii="仿宋_GB2312" w:hAnsi="宋体" w:eastAsia="仿宋_GB2312"/>
                <w:b/>
                <w:bCs/>
                <w:sz w:val="24"/>
                <w:szCs w:val="24"/>
              </w:rPr>
              <w:t>注明临江公司三固项目年度委外检测投标保证金</w:t>
            </w:r>
            <w:r>
              <w:rPr>
                <w:rFonts w:hint="eastAsia" w:ascii="仿宋_GB2312" w:hAnsi="宋体" w:eastAsia="仿宋_GB2312"/>
                <w:sz w:val="24"/>
                <w:szCs w:val="24"/>
              </w:rPr>
              <w:t>，投标人应在投标截止日前以电汇或网银转账方式缴纳至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p>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w:t>
            </w:r>
            <w:bookmarkEnd w:id="29"/>
            <w:r>
              <w:rPr>
                <w:rFonts w:hint="eastAsia" w:ascii="仿宋_GB2312" w:eastAsia="仿宋_GB2312"/>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30" w:name="_Toc509228366"/>
            <w:r>
              <w:rPr>
                <w:rFonts w:hint="eastAsia" w:ascii="仿宋_GB2312" w:eastAsia="仿宋_GB2312"/>
                <w:sz w:val="24"/>
                <w:szCs w:val="24"/>
              </w:rPr>
              <w:t>投标截止</w:t>
            </w:r>
            <w:r>
              <w:rPr>
                <w:rFonts w:ascii="仿宋_GB2312" w:eastAsia="仿宋_GB2312"/>
                <w:sz w:val="24"/>
                <w:szCs w:val="24"/>
              </w:rPr>
              <w:t>时间及地点</w:t>
            </w:r>
            <w:bookmarkEnd w:id="30"/>
          </w:p>
        </w:tc>
        <w:tc>
          <w:tcPr>
            <w:tcW w:w="5906" w:type="dxa"/>
          </w:tcPr>
          <w:p>
            <w:pPr>
              <w:pStyle w:val="4"/>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 xml:space="preserve">日 </w:t>
            </w:r>
            <w:r>
              <w:rPr>
                <w:rFonts w:hint="eastAsia" w:ascii="仿宋_GB2312" w:hAnsi="仿宋" w:eastAsia="仿宋_GB2312"/>
                <w:sz w:val="24"/>
                <w:szCs w:val="24"/>
              </w:rPr>
              <w:t>10:00。</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31" w:name="_Toc509228373"/>
            <w:r>
              <w:rPr>
                <w:rFonts w:hint="eastAsia" w:ascii="仿宋_GB2312" w:eastAsia="仿宋_GB2312"/>
                <w:sz w:val="24"/>
                <w:szCs w:val="24"/>
              </w:rPr>
              <w:t>投标文件的签署和份数</w:t>
            </w:r>
            <w:bookmarkEnd w:id="31"/>
          </w:p>
        </w:tc>
        <w:tc>
          <w:tcPr>
            <w:tcW w:w="5906" w:type="dxa"/>
          </w:tcPr>
          <w:p>
            <w:pPr>
              <w:numPr>
                <w:ilvl w:val="0"/>
                <w:numId w:val="3"/>
              </w:numPr>
              <w:spacing w:line="360" w:lineRule="auto"/>
              <w:ind w:left="0" w:firstLine="0"/>
              <w:jc w:val="left"/>
              <w:rPr>
                <w:rFonts w:ascii="仿宋_GB2312" w:hAnsi="宋体" w:eastAsia="仿宋_GB2312"/>
                <w:sz w:val="24"/>
                <w:szCs w:val="24"/>
              </w:rPr>
            </w:pPr>
            <w:bookmarkStart w:id="32"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2"/>
          </w:p>
          <w:p>
            <w:pPr>
              <w:numPr>
                <w:ilvl w:val="0"/>
                <w:numId w:val="3"/>
              </w:numPr>
              <w:spacing w:line="360" w:lineRule="auto"/>
              <w:ind w:left="0" w:firstLine="0"/>
              <w:jc w:val="left"/>
              <w:rPr>
                <w:rFonts w:ascii="仿宋_GB2312" w:eastAsia="仿宋_GB2312"/>
                <w:sz w:val="24"/>
                <w:szCs w:val="24"/>
              </w:rPr>
            </w:pPr>
            <w:bookmarkStart w:id="33" w:name="_Toc509228376"/>
            <w:r>
              <w:rPr>
                <w:rFonts w:hint="eastAsia" w:ascii="仿宋_GB2312" w:hAnsi="宋体" w:eastAsia="仿宋_GB2312"/>
                <w:sz w:val="24"/>
                <w:szCs w:val="24"/>
              </w:rPr>
              <w:t>投标人应按照招标文件格式要求制作投标文件封面，标书正本壹份，副本壹份。</w:t>
            </w:r>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12</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numPr>
                <w:ilvl w:val="0"/>
                <w:numId w:val="4"/>
              </w:numPr>
              <w:spacing w:line="360" w:lineRule="auto"/>
              <w:jc w:val="left"/>
              <w:rPr>
                <w:rFonts w:ascii="仿宋_GB2312" w:hAnsi="宋体" w:eastAsia="仿宋_GB2312"/>
                <w:sz w:val="24"/>
                <w:szCs w:val="24"/>
              </w:rPr>
            </w:pPr>
            <w:r>
              <w:rPr>
                <w:rFonts w:hint="eastAsia" w:ascii="仿宋_GB2312" w:hAnsi="宋体" w:eastAsia="仿宋_GB2312"/>
                <w:sz w:val="24"/>
                <w:szCs w:val="24"/>
              </w:rPr>
              <w:t>2021年</w:t>
            </w:r>
            <w:r>
              <w:rPr>
                <w:rFonts w:hint="eastAsia" w:ascii="仿宋_GB2312" w:hAnsi="宋体" w:eastAsia="仿宋_GB2312"/>
                <w:sz w:val="24"/>
                <w:szCs w:val="24"/>
                <w:lang w:val="en-US" w:eastAsia="zh-CN"/>
              </w:rPr>
              <w:t>4</w:t>
            </w:r>
            <w:r>
              <w:rPr>
                <w:rFonts w:hint="eastAsia" w:ascii="仿宋_GB2312" w:hAnsi="宋体" w:eastAsia="仿宋_GB2312"/>
                <w:sz w:val="24"/>
                <w:szCs w:val="24"/>
              </w:rPr>
              <w:t>月</w:t>
            </w:r>
            <w:r>
              <w:rPr>
                <w:rFonts w:hint="eastAsia" w:ascii="仿宋_GB2312" w:hAnsi="宋体" w:eastAsia="仿宋_GB2312"/>
                <w:sz w:val="24"/>
                <w:szCs w:val="24"/>
                <w:lang w:val="en-US" w:eastAsia="zh-CN"/>
              </w:rPr>
              <w:t>13</w:t>
            </w:r>
            <w:r>
              <w:rPr>
                <w:rFonts w:hint="eastAsia" w:ascii="仿宋_GB2312" w:hAnsi="宋体" w:eastAsia="仿宋_GB2312"/>
                <w:sz w:val="24"/>
                <w:szCs w:val="24"/>
              </w:rPr>
              <w:t>日10:00，地点：杭州市临江环境能源有限公司会议室（杭州临江循环经济产业园）。</w:t>
            </w:r>
          </w:p>
          <w:p>
            <w:pPr>
              <w:numPr>
                <w:ilvl w:val="0"/>
                <w:numId w:val="4"/>
              </w:numPr>
              <w:spacing w:line="360" w:lineRule="auto"/>
              <w:jc w:val="left"/>
              <w:rPr>
                <w:rFonts w:eastAsia="等线 Light"/>
              </w:rPr>
            </w:pPr>
            <w:r>
              <w:rPr>
                <w:rFonts w:hint="eastAsia" w:ascii="仿宋_GB2312" w:hAnsi="宋体" w:eastAsia="仿宋_GB2312"/>
                <w:sz w:val="24"/>
                <w:szCs w:val="24"/>
              </w:rPr>
              <w:t xml:space="preserve"> 参与现场开评标的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1.1本招标文件适用于本次招标中所叙述的临江公司三固项目年度委外检测服务招标项目及其相关服务。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ind w:firstLine="480" w:firstLineChars="200"/>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指本招标文件所要求的临江公司三固项目年度委外检测服务及其相关服务。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2.6“全权代表”是指法定代表人或法定代表人授权委托人。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3.1本招标项目说明详见招标文件投标须知前附表。</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3.2</w:t>
      </w:r>
      <w:r>
        <w:rPr>
          <w:rFonts w:hint="eastAsia" w:ascii="仿宋_GB2312" w:hAnsi="宋体" w:eastAsia="仿宋_GB2312" w:cs="宋体"/>
          <w:b w:val="0"/>
          <w:bCs/>
          <w:color w:val="auto"/>
          <w:sz w:val="24"/>
          <w:szCs w:val="24"/>
        </w:rPr>
        <w:t>委托</w:t>
      </w:r>
      <w:r>
        <w:rPr>
          <w:rFonts w:hint="eastAsia" w:ascii="仿宋_GB2312" w:hAnsi="宋体" w:eastAsia="仿宋_GB2312" w:cs="宋体"/>
          <w:color w:val="000000"/>
          <w:sz w:val="24"/>
          <w:szCs w:val="24"/>
        </w:rPr>
        <w:t>数量：详见招标公告。</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3.2</w:t>
      </w:r>
      <w:r>
        <w:rPr>
          <w:rFonts w:hint="eastAsia" w:ascii="仿宋_GB2312" w:hAnsi="宋体" w:eastAsia="仿宋_GB2312" w:cs="宋体"/>
          <w:b w:val="0"/>
          <w:bCs/>
          <w:color w:val="auto"/>
          <w:sz w:val="24"/>
          <w:szCs w:val="24"/>
        </w:rPr>
        <w:t>委托</w:t>
      </w:r>
      <w:r>
        <w:rPr>
          <w:rFonts w:hint="eastAsia" w:ascii="仿宋_GB2312" w:hAnsi="宋体" w:eastAsia="仿宋_GB2312" w:cs="宋体"/>
          <w:color w:val="000000"/>
          <w:sz w:val="24"/>
          <w:szCs w:val="24"/>
        </w:rPr>
        <w:t>期限：详见合同主要条款。</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投标文件部分格式范例</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7.1除招标</w:t>
      </w:r>
      <w:r>
        <w:rPr>
          <w:rFonts w:hint="eastAsia" w:ascii="仿宋_GB2312" w:hAnsi="宋体" w:eastAsia="仿宋_GB2312" w:cs="宋体"/>
          <w:b w:val="0"/>
          <w:bCs/>
          <w:color w:val="auto"/>
          <w:sz w:val="24"/>
          <w:szCs w:val="24"/>
        </w:rPr>
        <w:t>项目涉及</w:t>
      </w:r>
      <w:r>
        <w:rPr>
          <w:rFonts w:hint="eastAsia" w:ascii="仿宋_GB2312" w:hAnsi="宋体" w:eastAsia="仿宋_GB2312" w:cs="宋体"/>
          <w:color w:val="000000"/>
          <w:sz w:val="24"/>
          <w:szCs w:val="24"/>
        </w:rPr>
        <w:t>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0070C0"/>
          <w:sz w:val="24"/>
          <w:szCs w:val="24"/>
        </w:rPr>
      </w:pPr>
      <w:r>
        <w:rPr>
          <w:rFonts w:hint="eastAsia" w:ascii="仿宋_GB2312" w:hAnsi="宋体" w:eastAsia="仿宋_GB2312" w:cs="宋体"/>
          <w:color w:val="000000"/>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pStyle w:val="2"/>
        <w:spacing w:before="0" w:line="360" w:lineRule="auto"/>
        <w:ind w:firstLine="480" w:firstLineChars="200"/>
        <w:rPr>
          <w:rFonts w:ascii="仿宋_GB2312" w:hAnsi="宋体" w:eastAsia="仿宋_GB2312" w:cs="宋体"/>
          <w:b w:val="0"/>
          <w:bCs w:val="0"/>
          <w:caps w:val="0"/>
          <w:color w:val="000000"/>
        </w:rPr>
      </w:pPr>
      <w:r>
        <w:rPr>
          <w:rFonts w:hint="eastAsia" w:ascii="仿宋_GB2312" w:hAnsi="宋体" w:eastAsia="仿宋_GB2312" w:cs="宋体"/>
          <w:b w:val="0"/>
          <w:bCs w:val="0"/>
          <w:caps w:val="0"/>
          <w:color w:val="000000"/>
        </w:rPr>
        <w:t>8.1.4报价明细表；（附件五）</w:t>
      </w:r>
    </w:p>
    <w:p>
      <w:pPr>
        <w:pStyle w:val="2"/>
        <w:spacing w:before="0" w:line="360" w:lineRule="auto"/>
        <w:ind w:firstLine="480" w:firstLineChars="200"/>
        <w:rPr>
          <w:rFonts w:ascii="仿宋_GB2312" w:hAnsi="宋体" w:eastAsia="仿宋_GB2312" w:cs="宋体"/>
          <w:b w:val="0"/>
          <w:bCs w:val="0"/>
          <w:caps w:val="0"/>
          <w:color w:val="000000"/>
        </w:rPr>
      </w:pPr>
      <w:r>
        <w:rPr>
          <w:rFonts w:hint="eastAsia" w:ascii="仿宋_GB2312" w:hAnsi="宋体" w:eastAsia="仿宋_GB2312" w:cs="宋体"/>
          <w:b w:val="0"/>
          <w:bCs w:val="0"/>
          <w:caps w:val="0"/>
          <w:color w:val="000000"/>
        </w:rPr>
        <w:t>8.1.5 招标要求偏离说明表；（附件七）</w:t>
      </w:r>
    </w:p>
    <w:p>
      <w:pPr>
        <w:pStyle w:val="2"/>
        <w:spacing w:before="0" w:line="360" w:lineRule="auto"/>
        <w:ind w:firstLine="480" w:firstLineChars="200"/>
        <w:rPr>
          <w:rFonts w:ascii="仿宋_GB2312" w:hAnsi="宋体" w:eastAsia="仿宋_GB2312" w:cs="宋体"/>
          <w:b w:val="0"/>
          <w:bCs w:val="0"/>
          <w:caps w:val="0"/>
          <w:color w:val="000000"/>
        </w:rPr>
      </w:pPr>
      <w:r>
        <w:rPr>
          <w:rFonts w:hint="eastAsia" w:ascii="仿宋_GB2312" w:hAnsi="宋体" w:eastAsia="仿宋_GB2312" w:cs="宋体"/>
          <w:b w:val="0"/>
          <w:bCs w:val="0"/>
          <w:caps w:val="0"/>
          <w:color w:val="000000"/>
        </w:rPr>
        <w:t>8.1.6检测服务方案；（附件八）</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报价必须包括提供项目服务所需的一切人员工资、奖金、各种加班费、各种社会保险（基本养老保险、基本医疗保险、工伤保险、失业保险等）、食宿与交通、高温补偿费、机械、打井钻孔、设备、车辆、安全、管理费用、税费、利润等完成合同所需的一切本身和不可或缺的所有工作开支、政策性文件规定及合同包含的所有风险、责任等各项全部费用并承担一切风险责任。</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8.2.1提供有效的企业法人营业执照（复印件）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8.2.3投标人的基本情况，实验室所在地等</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8.2.4相关的主要业绩证明，如投标人无法提供主要业绩的证明材料，视作投标无效</w:t>
      </w:r>
      <w:r>
        <w:rPr>
          <w:rFonts w:hint="eastAsia" w:ascii="仿宋_GB2312" w:hAnsi="宋体" w:eastAsia="仿宋_GB2312" w:cs="宋体"/>
          <w:color w:val="000000"/>
          <w:sz w:val="24"/>
          <w:szCs w:val="24"/>
        </w:rPr>
        <w:t>（附件六）</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8.2.5招标文件中涉及到的或投标人认为需要提供的其它说明和资料。投标人需要说明的其他内容以及优惠承诺（如果有）。</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6"/>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6"/>
        <w:adjustRightInd w:val="0"/>
        <w:snapToGrid w:val="0"/>
        <w:spacing w:before="0"/>
        <w:ind w:firstLine="360" w:firstLineChars="150"/>
        <w:rPr>
          <w:rFonts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ascii="仿宋_GB2312" w:eastAsia="仿宋_GB2312"/>
          <w:color w:val="000000"/>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spacing w:line="360" w:lineRule="auto"/>
        <w:ind w:left="514"/>
        <w:rPr>
          <w:rFonts w:ascii="仿宋_GB2312" w:hAnsi="宋体" w:eastAsia="仿宋_GB2312"/>
          <w:sz w:val="24"/>
          <w:szCs w:val="24"/>
        </w:rPr>
      </w:pPr>
      <w:r>
        <w:rPr>
          <w:rFonts w:hint="eastAsia" w:ascii="仿宋_GB2312" w:hAnsi="宋体" w:eastAsia="仿宋_GB2312"/>
          <w:sz w:val="24"/>
          <w:szCs w:val="24"/>
        </w:rPr>
        <w:t>户  名：杭州临江环境能源有限公司</w:t>
      </w:r>
      <w:r>
        <w:rPr>
          <w:rFonts w:hint="eastAsia" w:ascii="仿宋_GB2312" w:hAnsi="宋体" w:eastAsia="仿宋_GB2312"/>
          <w:sz w:val="24"/>
          <w:szCs w:val="24"/>
        </w:rPr>
        <w:br w:type="textWrapping"/>
      </w:r>
      <w:r>
        <w:rPr>
          <w:rFonts w:hint="eastAsia" w:ascii="仿宋_GB2312" w:hAnsi="宋体" w:eastAsia="仿宋_GB2312"/>
          <w:sz w:val="24"/>
          <w:szCs w:val="24"/>
        </w:rPr>
        <w:t>开户银行：招商银行杭州分行滨江支行</w:t>
      </w:r>
      <w:r>
        <w:rPr>
          <w:rFonts w:hint="eastAsia" w:ascii="仿宋_GB2312" w:hAnsi="宋体" w:eastAsia="仿宋_GB2312"/>
          <w:sz w:val="24"/>
          <w:szCs w:val="24"/>
        </w:rPr>
        <w:br w:type="textWrapping"/>
      </w:r>
      <w:r>
        <w:rPr>
          <w:rFonts w:hint="eastAsia" w:ascii="仿宋_GB2312" w:hAnsi="宋体" w:eastAsia="仿宋_GB2312"/>
          <w:sz w:val="24"/>
          <w:szCs w:val="24"/>
        </w:rPr>
        <w:t>账  号：571911871110866</w:t>
      </w:r>
    </w:p>
    <w:p>
      <w:pPr>
        <w:spacing w:line="360" w:lineRule="auto"/>
        <w:ind w:right="6"/>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21.14未按招标文件要求制作投标文件的；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21.15根据招标文件要求，评标委员会认为应当作无效投标处理的其他情况；</w:t>
      </w:r>
    </w:p>
    <w:p>
      <w:pPr>
        <w:pStyle w:val="2"/>
        <w:spacing w:before="0" w:line="360" w:lineRule="auto"/>
        <w:ind w:firstLine="419" w:firstLineChars="169"/>
        <w:rPr>
          <w:rFonts w:ascii="仿宋_GB2312" w:hAnsi="宋体" w:eastAsia="仿宋_GB2312" w:cs="宋体"/>
          <w:b w:val="0"/>
          <w:bCs w:val="0"/>
          <w:caps w:val="0"/>
          <w:color w:val="000000"/>
          <w:spacing w:val="4"/>
        </w:rPr>
      </w:pPr>
      <w:r>
        <w:rPr>
          <w:rFonts w:hint="eastAsia" w:ascii="仿宋_GB2312" w:hAnsi="宋体" w:eastAsia="仿宋_GB2312" w:cs="宋体"/>
          <w:b w:val="0"/>
          <w:bCs w:val="0"/>
          <w:caps w:val="0"/>
          <w:color w:val="000000"/>
          <w:spacing w:val="4"/>
        </w:rPr>
        <w:t>21.16法律、法规、规章及规范性文件规定其他应否决投标的情形。</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482" w:firstLineChars="200"/>
        <w:rPr>
          <w:rFonts w:ascii="仿宋_GB2312" w:hAnsi="宋体" w:eastAsia="仿宋_GB2312" w:cs="宋体"/>
          <w:color w:val="000000"/>
          <w:sz w:val="24"/>
          <w:szCs w:val="24"/>
        </w:rPr>
      </w:pPr>
      <w:r>
        <w:rPr>
          <w:rFonts w:hint="eastAsia" w:ascii="仿宋_GB2312" w:hAnsi="宋体" w:eastAsia="仿宋_GB2312" w:cs="宋体"/>
          <w:b/>
          <w:color w:val="000000"/>
          <w:sz w:val="24"/>
          <w:szCs w:val="24"/>
        </w:rPr>
        <w:t>22.2 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000000"/>
          <w:sz w:val="24"/>
          <w:szCs w:val="24"/>
        </w:rPr>
      </w:pPr>
      <w:bookmarkStart w:id="34" w:name="_Toc473012594"/>
      <w:bookmarkStart w:id="35" w:name="_Toc509229845"/>
      <w:bookmarkStart w:id="36" w:name="_Toc509228382"/>
      <w:bookmarkStart w:id="37" w:name="_Toc37815040"/>
      <w:bookmarkStart w:id="38" w:name="_Toc37912038"/>
      <w:bookmarkStart w:id="39" w:name="_Toc37911758"/>
      <w:bookmarkStart w:id="40" w:name="_Toc37911648"/>
      <w:r>
        <w:rPr>
          <w:rFonts w:hint="eastAsia" w:ascii="仿宋_GB2312" w:hAnsi="宋体" w:eastAsia="仿宋_GB2312" w:cs="宋体"/>
          <w:b/>
          <w:bCs/>
          <w:color w:val="000000"/>
          <w:sz w:val="24"/>
          <w:szCs w:val="24"/>
        </w:rPr>
        <w:t>26. 评标原则</w:t>
      </w:r>
    </w:p>
    <w:p>
      <w:pPr>
        <w:pStyle w:val="6"/>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w:t>
      </w:r>
      <w:r>
        <w:rPr>
          <w:rFonts w:hint="eastAsia" w:ascii="仿宋_GB2312" w:hAnsi="宋体" w:eastAsia="仿宋_GB2312" w:cs="Arial"/>
          <w:b w:val="0"/>
          <w:bCs/>
          <w:color w:val="auto"/>
          <w:sz w:val="24"/>
          <w:szCs w:val="24"/>
        </w:rPr>
        <w:t>服务</w:t>
      </w:r>
      <w:r>
        <w:rPr>
          <w:rFonts w:hint="eastAsia" w:ascii="仿宋_GB2312" w:hAnsi="宋体" w:eastAsia="仿宋_GB2312" w:cs="Arial"/>
          <w:sz w:val="24"/>
          <w:szCs w:val="24"/>
        </w:rPr>
        <w:t>价格明显低于市场价，评标委员会认定为重大偏离，不再进入后续评审。</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w:t>
      </w:r>
      <w:r>
        <w:rPr>
          <w:rFonts w:hint="eastAsia" w:ascii="仿宋_GB2312" w:hAnsi="宋体" w:eastAsia="仿宋_GB2312"/>
          <w:b w:val="0"/>
          <w:bCs/>
          <w:color w:val="auto"/>
          <w:sz w:val="24"/>
        </w:rPr>
        <w:t>委托</w:t>
      </w:r>
      <w:r>
        <w:rPr>
          <w:rFonts w:hint="eastAsia" w:ascii="仿宋_GB2312" w:hAnsi="宋体" w:eastAsia="仿宋_GB2312"/>
          <w:sz w:val="24"/>
        </w:rPr>
        <w:t>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32.1凡涉及本次招标文件的解释权均属于杭州临江环境能源有限公司。</w:t>
      </w:r>
    </w:p>
    <w:p>
      <w:pPr>
        <w:pStyle w:val="8"/>
        <w:spacing w:line="360" w:lineRule="auto"/>
        <w:rPr>
          <w:rStyle w:val="13"/>
          <w:rFonts w:ascii="仿宋_GB2312" w:eastAsia="仿宋_GB2312"/>
          <w:b/>
          <w:spacing w:val="0"/>
          <w:sz w:val="44"/>
          <w:lang w:val="en-GB"/>
        </w:rPr>
      </w:pPr>
      <w:r>
        <w:rPr>
          <w:rFonts w:ascii="仿宋_GB2312" w:hAnsi="仿宋" w:eastAsia="仿宋_GB2312" w:cs="仿宋_GB2312"/>
          <w:sz w:val="24"/>
          <w:szCs w:val="24"/>
          <w:lang w:val="zh-CN"/>
        </w:rPr>
        <w:br w:type="page"/>
      </w:r>
      <w:r>
        <w:rPr>
          <w:rStyle w:val="13"/>
          <w:rFonts w:hint="eastAsia" w:ascii="仿宋_GB2312" w:eastAsia="仿宋_GB2312"/>
          <w:b/>
          <w:spacing w:val="0"/>
          <w:sz w:val="44"/>
          <w:lang w:val="en-GB"/>
        </w:rPr>
        <w:t>第三</w:t>
      </w:r>
      <w:bookmarkEnd w:id="34"/>
      <w:r>
        <w:rPr>
          <w:rStyle w:val="13"/>
          <w:rFonts w:hint="eastAsia" w:ascii="仿宋_GB2312" w:eastAsia="仿宋_GB2312"/>
          <w:b/>
          <w:spacing w:val="0"/>
          <w:sz w:val="44"/>
          <w:lang w:val="en-GB"/>
        </w:rPr>
        <w:t xml:space="preserve">部分  </w:t>
      </w:r>
      <w:bookmarkEnd w:id="35"/>
      <w:bookmarkEnd w:id="36"/>
      <w:r>
        <w:rPr>
          <w:rStyle w:val="13"/>
          <w:rFonts w:hint="eastAsia" w:ascii="仿宋_GB2312" w:eastAsia="仿宋_GB2312"/>
          <w:b/>
          <w:spacing w:val="0"/>
          <w:sz w:val="44"/>
          <w:lang w:val="en-GB"/>
        </w:rPr>
        <w:t>招标内容及项目要求</w:t>
      </w:r>
    </w:p>
    <w:bookmarkEnd w:id="37"/>
    <w:bookmarkEnd w:id="38"/>
    <w:bookmarkEnd w:id="39"/>
    <w:bookmarkEnd w:id="40"/>
    <w:p>
      <w:pPr>
        <w:numPr>
          <w:ilvl w:val="0"/>
          <w:numId w:val="5"/>
        </w:numPr>
        <w:spacing w:line="360" w:lineRule="auto"/>
        <w:rPr>
          <w:rFonts w:ascii="仿宋_GB2312" w:hAnsi="宋体" w:eastAsia="仿宋_GB2312"/>
          <w:sz w:val="24"/>
        </w:rPr>
      </w:pPr>
      <w:r>
        <w:rPr>
          <w:rFonts w:ascii="仿宋_GB2312" w:hAnsi="宋体" w:eastAsia="仿宋_GB2312"/>
          <w:sz w:val="24"/>
        </w:rPr>
        <w:t>招标内容</w:t>
      </w:r>
      <w:r>
        <w:rPr>
          <w:rFonts w:hint="eastAsia" w:ascii="仿宋_GB2312" w:hAnsi="宋体" w:eastAsia="仿宋_GB2312"/>
          <w:sz w:val="24"/>
        </w:rPr>
        <w:t>。</w:t>
      </w:r>
    </w:p>
    <w:tbl>
      <w:tblPr>
        <w:tblStyle w:val="9"/>
        <w:tblW w:w="9030" w:type="dxa"/>
        <w:tblInd w:w="0" w:type="dxa"/>
        <w:tblLayout w:type="autofit"/>
        <w:tblCellMar>
          <w:top w:w="0" w:type="dxa"/>
          <w:left w:w="0" w:type="dxa"/>
          <w:bottom w:w="0" w:type="dxa"/>
          <w:right w:w="0" w:type="dxa"/>
        </w:tblCellMar>
      </w:tblPr>
      <w:tblGrid>
        <w:gridCol w:w="893"/>
        <w:gridCol w:w="1671"/>
        <w:gridCol w:w="1467"/>
        <w:gridCol w:w="2155"/>
        <w:gridCol w:w="1213"/>
        <w:gridCol w:w="1631"/>
      </w:tblGrid>
      <w:tr>
        <w:tblPrEx>
          <w:tblCellMar>
            <w:top w:w="0" w:type="dxa"/>
            <w:left w:w="0" w:type="dxa"/>
            <w:bottom w:w="0" w:type="dxa"/>
            <w:right w:w="0" w:type="dxa"/>
          </w:tblCellMar>
        </w:tblPrEx>
        <w:trPr>
          <w:trHeight w:val="660" w:hRule="atLeast"/>
        </w:trPr>
        <w:tc>
          <w:tcPr>
            <w:tcW w:w="8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大类</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监测点位</w:t>
            </w:r>
          </w:p>
        </w:tc>
        <w:tc>
          <w:tcPr>
            <w:tcW w:w="1467"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备注</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监测指标</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w:t>
            </w:r>
            <w:r>
              <w:rPr>
                <w:rFonts w:hint="eastAsia" w:ascii="宋体" w:hAnsi="宋体" w:cs="宋体"/>
                <w:b w:val="0"/>
                <w:bCs/>
                <w:color w:val="auto"/>
                <w:kern w:val="0"/>
                <w:sz w:val="20"/>
              </w:rPr>
              <w:t>周期</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w:t>
            </w:r>
            <w:r>
              <w:rPr>
                <w:rFonts w:hint="eastAsia" w:ascii="宋体" w:hAnsi="宋体" w:cs="宋体"/>
                <w:b w:val="0"/>
                <w:bCs/>
                <w:color w:val="auto"/>
                <w:kern w:val="0"/>
                <w:sz w:val="20"/>
              </w:rPr>
              <w:t>频次</w:t>
            </w:r>
          </w:p>
        </w:tc>
      </w:tr>
      <w:tr>
        <w:tblPrEx>
          <w:tblCellMar>
            <w:top w:w="0" w:type="dxa"/>
            <w:left w:w="0" w:type="dxa"/>
            <w:bottom w:w="0" w:type="dxa"/>
            <w:right w:w="0" w:type="dxa"/>
          </w:tblCellMar>
        </w:tblPrEx>
        <w:trPr>
          <w:trHeight w:val="495" w:hRule="atLeast"/>
        </w:trPr>
        <w:tc>
          <w:tcPr>
            <w:tcW w:w="893" w:type="dxa"/>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废水排放监测</w:t>
            </w: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废水总排口</w:t>
            </w:r>
            <w:r>
              <w:rPr>
                <w:rStyle w:val="20"/>
                <w:color w:val="auto"/>
              </w:rPr>
              <w:t>1</w:t>
            </w:r>
            <w:r>
              <w:rPr>
                <w:rStyle w:val="19"/>
                <w:rFonts w:hint="default"/>
                <w:color w:val="auto"/>
              </w:rPr>
              <w:t>：</w:t>
            </w:r>
            <w:r>
              <w:rPr>
                <w:rStyle w:val="20"/>
                <w:color w:val="auto"/>
              </w:rPr>
              <w:br w:type="textWrapping"/>
            </w:r>
            <w:r>
              <w:rPr>
                <w:rStyle w:val="19"/>
                <w:rFonts w:hint="default"/>
                <w:color w:val="auto"/>
              </w:rPr>
              <w:t>生产废水处理系统出口（物化、焚烧、生活废水）</w:t>
            </w:r>
          </w:p>
        </w:tc>
        <w:tc>
          <w:tcPr>
            <w:tcW w:w="0" w:type="auto"/>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21"/>
                <w:rFonts w:hint="default"/>
                <w:color w:val="auto"/>
              </w:rPr>
              <w:t>流量、</w:t>
            </w:r>
            <w:r>
              <w:rPr>
                <w:rStyle w:val="22"/>
                <w:color w:val="auto"/>
              </w:rPr>
              <w:t>PH</w:t>
            </w:r>
            <w:r>
              <w:rPr>
                <w:rStyle w:val="21"/>
                <w:rFonts w:hint="default"/>
                <w:color w:val="auto"/>
              </w:rPr>
              <w:t>值、化学需氧量、氨氮</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监测1天每天2次</w:t>
            </w:r>
          </w:p>
        </w:tc>
      </w:tr>
      <w:tr>
        <w:tblPrEx>
          <w:tblCellMar>
            <w:top w:w="0" w:type="dxa"/>
            <w:left w:w="0" w:type="dxa"/>
            <w:bottom w:w="0" w:type="dxa"/>
            <w:right w:w="0" w:type="dxa"/>
          </w:tblCellMar>
        </w:tblPrEx>
        <w:trPr>
          <w:trHeight w:val="128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0" w:type="auto"/>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粪大肠菌群数、氟化物、总余氯</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92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废水总排口</w:t>
            </w:r>
            <w:r>
              <w:rPr>
                <w:rStyle w:val="20"/>
                <w:color w:val="auto"/>
              </w:rPr>
              <w:t>2</w:t>
            </w:r>
            <w:r>
              <w:rPr>
                <w:rStyle w:val="19"/>
                <w:rFonts w:hint="default"/>
                <w:color w:val="auto"/>
              </w:rPr>
              <w:t>：</w:t>
            </w:r>
            <w:r>
              <w:rPr>
                <w:rStyle w:val="20"/>
                <w:color w:val="auto"/>
              </w:rPr>
              <w:br w:type="textWrapping"/>
            </w:r>
            <w:r>
              <w:rPr>
                <w:rStyle w:val="19"/>
                <w:rFonts w:hint="default"/>
                <w:color w:val="auto"/>
              </w:rPr>
              <w:t>渗滤液处理系统废水排放口</w:t>
            </w:r>
          </w:p>
        </w:tc>
        <w:tc>
          <w:tcPr>
            <w:tcW w:w="0" w:type="auto"/>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2"/>
                <w:color w:val="auto"/>
              </w:rPr>
              <w:t>BOD</w:t>
            </w:r>
            <w:r>
              <w:rPr>
                <w:rStyle w:val="23"/>
                <w:color w:val="auto"/>
              </w:rPr>
              <w:t>5</w:t>
            </w:r>
            <w:r>
              <w:rPr>
                <w:rStyle w:val="21"/>
                <w:rFonts w:hint="default"/>
                <w:color w:val="auto"/>
              </w:rPr>
              <w:t>、氰化物、总砷、总镉、总铬、总铍、六价铬、总铅、总汞、烷基汞、总砷、总镍、总锌、总银、总铜、苯并</w:t>
            </w:r>
            <w:r>
              <w:rPr>
                <w:rStyle w:val="22"/>
                <w:color w:val="auto"/>
              </w:rPr>
              <w:t>(a)</w:t>
            </w:r>
            <w:r>
              <w:rPr>
                <w:rStyle w:val="21"/>
                <w:rFonts w:hint="default"/>
                <w:color w:val="auto"/>
              </w:rPr>
              <w:t>芘、总锰、磷酸盐、硫化物、硫酸盐、氯化物、石油类</w:t>
            </w:r>
          </w:p>
        </w:tc>
        <w:tc>
          <w:tcPr>
            <w:tcW w:w="121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监测1天每天2次</w:t>
            </w:r>
          </w:p>
        </w:tc>
      </w:tr>
      <w:tr>
        <w:tblPrEx>
          <w:tblCellMar>
            <w:top w:w="0" w:type="dxa"/>
            <w:left w:w="0" w:type="dxa"/>
            <w:bottom w:w="0" w:type="dxa"/>
            <w:right w:w="0" w:type="dxa"/>
          </w:tblCellMar>
        </w:tblPrEx>
        <w:trPr>
          <w:trHeight w:val="146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0" w:type="auto"/>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0"/>
              </w:rPr>
            </w:pPr>
          </w:p>
        </w:tc>
        <w:tc>
          <w:tcPr>
            <w:tcW w:w="121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sz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2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废水总排口</w:t>
            </w:r>
            <w:r>
              <w:rPr>
                <w:rStyle w:val="20"/>
                <w:color w:val="auto"/>
              </w:rPr>
              <w:t>3</w:t>
            </w:r>
            <w:r>
              <w:rPr>
                <w:rStyle w:val="19"/>
                <w:rFonts w:hint="default"/>
                <w:color w:val="auto"/>
              </w:rPr>
              <w:t>：</w:t>
            </w:r>
            <w:r>
              <w:rPr>
                <w:rStyle w:val="20"/>
                <w:color w:val="auto"/>
              </w:rPr>
              <w:br w:type="textWrapping"/>
            </w:r>
            <w:r>
              <w:rPr>
                <w:rStyle w:val="19"/>
                <w:rFonts w:hint="default"/>
                <w:color w:val="auto"/>
              </w:rPr>
              <w:t>医疗废物配套清洗废水处理设施排放口</w:t>
            </w: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流量、</w:t>
            </w:r>
            <w:r>
              <w:rPr>
                <w:rStyle w:val="20"/>
                <w:color w:val="auto"/>
              </w:rPr>
              <w:t>pH</w:t>
            </w:r>
            <w:r>
              <w:rPr>
                <w:rStyle w:val="19"/>
                <w:rFonts w:hint="default"/>
                <w:color w:val="auto"/>
              </w:rPr>
              <w:t>、</w:t>
            </w:r>
            <w:r>
              <w:rPr>
                <w:rStyle w:val="20"/>
                <w:color w:val="auto"/>
              </w:rPr>
              <w:t>CODcr</w:t>
            </w:r>
            <w:r>
              <w:rPr>
                <w:rStyle w:val="19"/>
                <w:rFonts w:hint="default"/>
                <w:color w:val="auto"/>
              </w:rPr>
              <w:t>、氨氮</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16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监测1天每天2次</w:t>
            </w:r>
          </w:p>
        </w:tc>
      </w:tr>
      <w:tr>
        <w:tblPrEx>
          <w:tblCellMar>
            <w:top w:w="0" w:type="dxa"/>
            <w:left w:w="0" w:type="dxa"/>
            <w:bottom w:w="0" w:type="dxa"/>
            <w:right w:w="0" w:type="dxa"/>
          </w:tblCellMar>
        </w:tblPrEx>
        <w:trPr>
          <w:trHeight w:val="62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4"/>
                <w:color w:val="auto"/>
              </w:rPr>
              <w:t>SS</w:t>
            </w:r>
            <w:r>
              <w:rPr>
                <w:rStyle w:val="25"/>
                <w:rFonts w:hint="default"/>
                <w:color w:val="auto"/>
              </w:rPr>
              <w:t>、总余氯（</w:t>
            </w:r>
            <w:r>
              <w:rPr>
                <w:rStyle w:val="24"/>
                <w:color w:val="auto"/>
              </w:rPr>
              <w:t>2</w:t>
            </w:r>
            <w:r>
              <w:rPr>
                <w:rStyle w:val="25"/>
                <w:rFonts w:hint="default"/>
                <w:color w:val="auto"/>
              </w:rPr>
              <w:t>次</w:t>
            </w:r>
            <w:r>
              <w:rPr>
                <w:rStyle w:val="24"/>
                <w:color w:val="auto"/>
              </w:rPr>
              <w:t>/</w:t>
            </w:r>
            <w:r>
              <w:rPr>
                <w:rStyle w:val="25"/>
                <w:rFonts w:hint="default"/>
                <w:color w:val="auto"/>
              </w:rPr>
              <w:t>日）等</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4"/>
                <w:color w:val="auto"/>
              </w:rPr>
              <w:t>1</w:t>
            </w:r>
            <w:r>
              <w:rPr>
                <w:rStyle w:val="25"/>
                <w:rFonts w:hint="default"/>
                <w:color w:val="auto"/>
              </w:rPr>
              <w:t>次</w:t>
            </w:r>
            <w:r>
              <w:rPr>
                <w:rStyle w:val="24"/>
                <w:color w:val="auto"/>
              </w:rPr>
              <w:t>/</w:t>
            </w:r>
            <w:r>
              <w:rPr>
                <w:rStyle w:val="25"/>
                <w:rFonts w:hint="default"/>
                <w:color w:val="auto"/>
              </w:rPr>
              <w:t>月</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2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粪大肠菌群数</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2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0" w:type="auto"/>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kern w:val="0"/>
                <w:sz w:val="20"/>
              </w:rPr>
              <w:t>BOD5</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20"/>
                <w:b w:val="0"/>
                <w:bCs/>
                <w:color w:val="auto"/>
              </w:rPr>
              <w:t>1</w:t>
            </w:r>
            <w:r>
              <w:rPr>
                <w:rStyle w:val="19"/>
                <w:rFonts w:hint="default"/>
                <w:b w:val="0"/>
                <w:bCs/>
                <w:color w:val="auto"/>
              </w:rPr>
              <w:t>次</w:t>
            </w:r>
            <w:r>
              <w:rPr>
                <w:rStyle w:val="20"/>
                <w:b w:val="0"/>
                <w:bCs/>
                <w:color w:val="auto"/>
              </w:rPr>
              <w:t>/</w:t>
            </w:r>
            <w:r>
              <w:rPr>
                <w:rFonts w:hint="eastAsia" w:ascii="宋体" w:hAnsi="宋体" w:cs="宋体"/>
                <w:kern w:val="0"/>
                <w:sz w:val="20"/>
              </w:rPr>
              <w:t>季度</w:t>
            </w:r>
          </w:p>
        </w:tc>
        <w:tc>
          <w:tcPr>
            <w:tcW w:w="16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27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清下水排放口</w:t>
            </w:r>
          </w:p>
        </w:tc>
        <w:tc>
          <w:tcPr>
            <w:tcW w:w="0" w:type="auto"/>
            <w:vMerge w:val="restart"/>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pH</w:t>
            </w:r>
            <w:r>
              <w:rPr>
                <w:rStyle w:val="19"/>
                <w:rFonts w:hint="default"/>
                <w:color w:val="auto"/>
              </w:rPr>
              <w:t>、</w:t>
            </w:r>
            <w:r>
              <w:rPr>
                <w:rStyle w:val="20"/>
                <w:color w:val="auto"/>
              </w:rPr>
              <w:t>SS</w:t>
            </w:r>
            <w:r>
              <w:rPr>
                <w:rStyle w:val="19"/>
                <w:rFonts w:hint="default"/>
                <w:color w:val="auto"/>
              </w:rPr>
              <w:t>、</w:t>
            </w:r>
            <w:r>
              <w:rPr>
                <w:rStyle w:val="20"/>
                <w:color w:val="auto"/>
              </w:rPr>
              <w:t>CODcr</w:t>
            </w:r>
            <w:r>
              <w:rPr>
                <w:rStyle w:val="19"/>
                <w:rFonts w:hint="default"/>
                <w:color w:val="auto"/>
              </w:rPr>
              <w:t>、氨氮</w:t>
            </w:r>
          </w:p>
        </w:tc>
        <w:tc>
          <w:tcPr>
            <w:tcW w:w="121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kern w:val="0"/>
                <w:sz w:val="20"/>
              </w:rPr>
              <w:t>1次/月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监测1天每天2次</w:t>
            </w:r>
          </w:p>
        </w:tc>
      </w:tr>
      <w:tr>
        <w:tblPrEx>
          <w:tblCellMar>
            <w:top w:w="0" w:type="dxa"/>
            <w:left w:w="0" w:type="dxa"/>
            <w:bottom w:w="0" w:type="dxa"/>
            <w:right w:w="0" w:type="dxa"/>
          </w:tblCellMar>
        </w:tblPrEx>
        <w:trPr>
          <w:trHeight w:val="270" w:hRule="atLeast"/>
        </w:trPr>
        <w:tc>
          <w:tcPr>
            <w:tcW w:w="893" w:type="dxa"/>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0" w:type="auto"/>
            <w:vMerge w:val="continue"/>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0"/>
              </w:rPr>
            </w:pPr>
          </w:p>
        </w:tc>
        <w:tc>
          <w:tcPr>
            <w:tcW w:w="121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sz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1320" w:hRule="atLeast"/>
        </w:trPr>
        <w:tc>
          <w:tcPr>
            <w:tcW w:w="89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废气排放监测</w:t>
            </w: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焚烧生产单元</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sz w:val="20"/>
                <w:lang w:val="en-US" w:eastAsia="zh-CN"/>
              </w:rPr>
            </w:pPr>
            <w:r>
              <w:rPr>
                <w:rStyle w:val="19"/>
                <w:rFonts w:hint="default"/>
                <w:color w:val="auto"/>
              </w:rPr>
              <w:t>焚烧排气筒（</w:t>
            </w:r>
            <w:r>
              <w:rPr>
                <w:rStyle w:val="20"/>
                <w:color w:val="auto"/>
              </w:rPr>
              <w:t>B#</w:t>
            </w:r>
            <w:r>
              <w:rPr>
                <w:rStyle w:val="19"/>
                <w:rFonts w:hint="default"/>
                <w:color w:val="auto"/>
              </w:rPr>
              <w:t>线：</w:t>
            </w:r>
            <w:r>
              <w:rPr>
                <w:rStyle w:val="20"/>
                <w:color w:val="auto"/>
              </w:rPr>
              <w:t>50</w:t>
            </w:r>
            <w:r>
              <w:rPr>
                <w:rStyle w:val="19"/>
                <w:rFonts w:hint="default"/>
                <w:color w:val="auto"/>
              </w:rPr>
              <w:t>米烟囱，</w:t>
            </w:r>
            <w:r>
              <w:rPr>
                <w:rStyle w:val="20"/>
                <w:color w:val="auto"/>
              </w:rPr>
              <w:t>φ1.5m</w:t>
            </w:r>
            <w:r>
              <w:rPr>
                <w:rStyle w:val="19"/>
                <w:rFonts w:hint="default"/>
                <w:color w:val="auto"/>
              </w:rPr>
              <w:t>，</w:t>
            </w:r>
            <w:r>
              <w:rPr>
                <w:rStyle w:val="24"/>
                <w:color w:val="auto"/>
              </w:rPr>
              <w:t>1</w:t>
            </w:r>
            <w:r>
              <w:rPr>
                <w:rStyle w:val="25"/>
                <w:rFonts w:hint="default"/>
                <w:color w:val="auto"/>
              </w:rPr>
              <w:t>个断</w:t>
            </w:r>
            <w:r>
              <w:rPr>
                <w:rStyle w:val="19"/>
                <w:rFonts w:hint="default"/>
                <w:color w:val="auto"/>
              </w:rPr>
              <w:t>面；</w:t>
            </w:r>
            <w:r>
              <w:rPr>
                <w:rStyle w:val="20"/>
                <w:color w:val="auto"/>
              </w:rPr>
              <w:t>A#</w:t>
            </w:r>
            <w:r>
              <w:rPr>
                <w:rStyle w:val="19"/>
                <w:rFonts w:hint="default"/>
                <w:color w:val="auto"/>
              </w:rPr>
              <w:t>线：</w:t>
            </w:r>
            <w:r>
              <w:rPr>
                <w:rStyle w:val="20"/>
                <w:color w:val="auto"/>
              </w:rPr>
              <w:t>50</w:t>
            </w:r>
            <w:r>
              <w:rPr>
                <w:rStyle w:val="19"/>
                <w:rFonts w:hint="default"/>
                <w:color w:val="auto"/>
              </w:rPr>
              <w:t>米烟囱，</w:t>
            </w:r>
            <w:r>
              <w:rPr>
                <w:rStyle w:val="20"/>
                <w:color w:val="auto"/>
              </w:rPr>
              <w:t>φ1.5m</w:t>
            </w:r>
            <w:r>
              <w:rPr>
                <w:rStyle w:val="19"/>
                <w:rFonts w:hint="default"/>
                <w:color w:val="auto"/>
              </w:rPr>
              <w:t>，</w:t>
            </w:r>
            <w:r>
              <w:rPr>
                <w:rStyle w:val="24"/>
                <w:color w:val="auto"/>
              </w:rPr>
              <w:t>1</w:t>
            </w:r>
            <w:r>
              <w:rPr>
                <w:rStyle w:val="25"/>
                <w:rFonts w:hint="default"/>
                <w:color w:val="auto"/>
              </w:rPr>
              <w:t>个断</w:t>
            </w:r>
            <w:r>
              <w:rPr>
                <w:rStyle w:val="19"/>
                <w:rFonts w:hint="default"/>
                <w:color w:val="auto"/>
              </w:rPr>
              <w:t>面）</w:t>
            </w:r>
            <w:r>
              <w:rPr>
                <w:rStyle w:val="19"/>
                <w:rFonts w:hint="eastAsia"/>
                <w:color w:val="auto"/>
                <w:lang w:eastAsia="zh-CN"/>
              </w:rPr>
              <w:t>共</w:t>
            </w:r>
            <w:r>
              <w:rPr>
                <w:rStyle w:val="19"/>
                <w:rFonts w:hint="eastAsia"/>
                <w:color w:val="auto"/>
                <w:lang w:val="en-US" w:eastAsia="zh-CN"/>
              </w:rPr>
              <w:t>2条线。</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烟尘（颗粒物）、一氧化碳、二氧化硫、氯化氢、氮氧化物（以</w:t>
            </w:r>
            <w:r>
              <w:rPr>
                <w:rStyle w:val="20"/>
                <w:color w:val="auto"/>
              </w:rPr>
              <w:t>NOx</w:t>
            </w:r>
            <w:r>
              <w:rPr>
                <w:rStyle w:val="19"/>
                <w:rFonts w:hint="default"/>
                <w:color w:val="auto"/>
              </w:rPr>
              <w:t>计）、氟化氢、流量</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332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21"/>
                <w:rFonts w:hint="default"/>
                <w:color w:val="auto"/>
              </w:rPr>
              <w:t>汞及其化合物（以</w:t>
            </w:r>
            <w:r>
              <w:rPr>
                <w:rStyle w:val="22"/>
                <w:color w:val="auto"/>
              </w:rPr>
              <w:t>Hg</w:t>
            </w:r>
            <w:r>
              <w:rPr>
                <w:rStyle w:val="21"/>
                <w:rFonts w:hint="default"/>
                <w:color w:val="auto"/>
              </w:rPr>
              <w:t>计）；铊及其化合物（以</w:t>
            </w:r>
            <w:r>
              <w:rPr>
                <w:rStyle w:val="22"/>
                <w:color w:val="auto"/>
              </w:rPr>
              <w:t>Tl</w:t>
            </w:r>
            <w:r>
              <w:rPr>
                <w:rStyle w:val="21"/>
                <w:rFonts w:hint="default"/>
                <w:color w:val="auto"/>
              </w:rPr>
              <w:t>计）；镉及其化合物（以</w:t>
            </w:r>
            <w:r>
              <w:rPr>
                <w:rStyle w:val="22"/>
                <w:color w:val="auto"/>
              </w:rPr>
              <w:t>Cd</w:t>
            </w:r>
            <w:r>
              <w:rPr>
                <w:rStyle w:val="21"/>
                <w:rFonts w:hint="default"/>
                <w:color w:val="auto"/>
              </w:rPr>
              <w:t>计）；铅及其化合物（以</w:t>
            </w:r>
            <w:r>
              <w:rPr>
                <w:rStyle w:val="22"/>
                <w:color w:val="auto"/>
              </w:rPr>
              <w:t>Pb</w:t>
            </w:r>
            <w:r>
              <w:rPr>
                <w:rStyle w:val="21"/>
                <w:rFonts w:hint="default"/>
                <w:color w:val="auto"/>
              </w:rPr>
              <w:t>计）；砷及其化合物（以</w:t>
            </w:r>
            <w:r>
              <w:rPr>
                <w:rStyle w:val="22"/>
                <w:color w:val="auto"/>
              </w:rPr>
              <w:t>As</w:t>
            </w:r>
            <w:r>
              <w:rPr>
                <w:rStyle w:val="21"/>
                <w:rFonts w:hint="default"/>
                <w:color w:val="auto"/>
              </w:rPr>
              <w:t>计）；铬及其化合物（以</w:t>
            </w:r>
            <w:r>
              <w:rPr>
                <w:rStyle w:val="22"/>
                <w:color w:val="auto"/>
              </w:rPr>
              <w:t>Cr</w:t>
            </w:r>
            <w:r>
              <w:rPr>
                <w:rStyle w:val="21"/>
                <w:rFonts w:hint="default"/>
                <w:color w:val="auto"/>
              </w:rPr>
              <w:t>计）；锡、锑、铜、锰、镍及其化合物（以</w:t>
            </w:r>
            <w:r>
              <w:rPr>
                <w:rStyle w:val="22"/>
                <w:color w:val="auto"/>
              </w:rPr>
              <w:t>Sn+Sb+Cu+Mn+Ni</w:t>
            </w:r>
            <w:r>
              <w:rPr>
                <w:rStyle w:val="21"/>
                <w:rFonts w:hint="default"/>
                <w:color w:val="auto"/>
              </w:rPr>
              <w:t>计）</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27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二噁英</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半年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106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sz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危废暂存库排气筒（</w:t>
            </w:r>
            <w:r>
              <w:rPr>
                <w:rStyle w:val="20"/>
                <w:color w:val="auto"/>
              </w:rPr>
              <w:t>15</w:t>
            </w:r>
            <w:r>
              <w:rPr>
                <w:rStyle w:val="19"/>
                <w:rFonts w:hint="default"/>
                <w:color w:val="auto"/>
              </w:rPr>
              <w:t>米、</w:t>
            </w:r>
            <w:r>
              <w:rPr>
                <w:rStyle w:val="20"/>
                <w:color w:val="auto"/>
              </w:rPr>
              <w:t>φ1.5m</w:t>
            </w:r>
            <w:r>
              <w:rPr>
                <w:rStyle w:val="19"/>
                <w:rFonts w:hint="default"/>
                <w:color w:val="auto"/>
              </w:rPr>
              <w:t>，</w:t>
            </w:r>
            <w:r>
              <w:rPr>
                <w:rStyle w:val="20"/>
                <w:color w:val="auto"/>
              </w:rPr>
              <w:t>1</w:t>
            </w:r>
            <w:r>
              <w:rPr>
                <w:rStyle w:val="19"/>
                <w:rFonts w:hint="default"/>
                <w:color w:val="auto"/>
              </w:rPr>
              <w:t>个断面）</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NH</w:t>
            </w:r>
            <w:r>
              <w:rPr>
                <w:rStyle w:val="20"/>
                <w:color w:val="auto"/>
                <w:vertAlign w:val="subscript"/>
              </w:rPr>
              <w:t>3</w:t>
            </w:r>
            <w:r>
              <w:rPr>
                <w:rStyle w:val="19"/>
                <w:rFonts w:hint="default"/>
                <w:color w:val="auto"/>
              </w:rPr>
              <w:t>、</w:t>
            </w:r>
            <w:r>
              <w:rPr>
                <w:rStyle w:val="20"/>
                <w:color w:val="auto"/>
              </w:rPr>
              <w:t>H</w:t>
            </w:r>
            <w:r>
              <w:rPr>
                <w:rStyle w:val="20"/>
                <w:color w:val="auto"/>
                <w:vertAlign w:val="subscript"/>
              </w:rPr>
              <w:t>2</w:t>
            </w:r>
            <w:r>
              <w:rPr>
                <w:rStyle w:val="20"/>
                <w:color w:val="auto"/>
              </w:rPr>
              <w:t>S</w:t>
            </w:r>
            <w:r>
              <w:rPr>
                <w:rStyle w:val="19"/>
                <w:rFonts w:hint="default"/>
                <w:color w:val="auto"/>
              </w:rPr>
              <w:t>、臭气浓度、颗粒物、非甲烷总烃</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700" w:hRule="atLeast"/>
        </w:trPr>
        <w:tc>
          <w:tcPr>
            <w:tcW w:w="89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废气排放监测</w:t>
            </w:r>
          </w:p>
        </w:tc>
        <w:tc>
          <w:tcPr>
            <w:tcW w:w="1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有机暂存库、物化车间和污水处理站、固化车间、预处理及医废暂存清洗间、焚烧车间等单元</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物化及水处理车间、危废暂存库排气筒（</w:t>
            </w:r>
            <w:r>
              <w:rPr>
                <w:rStyle w:val="20"/>
                <w:color w:val="auto"/>
              </w:rPr>
              <w:t>15</w:t>
            </w:r>
            <w:r>
              <w:rPr>
                <w:rStyle w:val="19"/>
                <w:rFonts w:hint="default"/>
                <w:color w:val="auto"/>
              </w:rPr>
              <w:t>米、</w:t>
            </w:r>
            <w:r>
              <w:rPr>
                <w:rStyle w:val="20"/>
                <w:color w:val="auto"/>
              </w:rPr>
              <w:t>φ1.13m</w:t>
            </w:r>
            <w:r>
              <w:rPr>
                <w:rStyle w:val="19"/>
                <w:rFonts w:hint="default"/>
                <w:color w:val="auto"/>
              </w:rPr>
              <w:t>，</w:t>
            </w:r>
            <w:r>
              <w:rPr>
                <w:rStyle w:val="20"/>
                <w:color w:val="auto"/>
              </w:rPr>
              <w:t>1</w:t>
            </w:r>
            <w:r>
              <w:rPr>
                <w:rStyle w:val="19"/>
                <w:rFonts w:hint="default"/>
                <w:color w:val="auto"/>
              </w:rPr>
              <w:t>个断面）</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NH</w:t>
            </w:r>
            <w:r>
              <w:rPr>
                <w:rStyle w:val="20"/>
                <w:color w:val="auto"/>
                <w:vertAlign w:val="subscript"/>
              </w:rPr>
              <w:t>3</w:t>
            </w:r>
            <w:r>
              <w:rPr>
                <w:rStyle w:val="19"/>
                <w:rFonts w:hint="default"/>
                <w:color w:val="auto"/>
              </w:rPr>
              <w:t>、</w:t>
            </w:r>
            <w:r>
              <w:rPr>
                <w:rStyle w:val="20"/>
                <w:color w:val="auto"/>
              </w:rPr>
              <w:t>H</w:t>
            </w:r>
            <w:r>
              <w:rPr>
                <w:rStyle w:val="20"/>
                <w:color w:val="auto"/>
                <w:vertAlign w:val="subscript"/>
              </w:rPr>
              <w:t>2</w:t>
            </w:r>
            <w:r>
              <w:rPr>
                <w:rStyle w:val="20"/>
                <w:color w:val="auto"/>
              </w:rPr>
              <w:t>S</w:t>
            </w:r>
            <w:r>
              <w:rPr>
                <w:rStyle w:val="19"/>
                <w:rFonts w:hint="default"/>
                <w:color w:val="auto"/>
              </w:rPr>
              <w:t>、臭气浓度、颗粒物、非甲烷总烃</w:t>
            </w:r>
          </w:p>
        </w:tc>
        <w:tc>
          <w:tcPr>
            <w:tcW w:w="1213"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监测1天每天3次</w:t>
            </w:r>
          </w:p>
        </w:tc>
      </w:tr>
      <w:tr>
        <w:tblPrEx>
          <w:tblCellMar>
            <w:top w:w="0" w:type="dxa"/>
            <w:left w:w="0" w:type="dxa"/>
            <w:bottom w:w="0" w:type="dxa"/>
            <w:right w:w="0" w:type="dxa"/>
          </w:tblCellMar>
        </w:tblPrEx>
        <w:trPr>
          <w:trHeight w:val="48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0"/>
              </w:rPr>
            </w:pPr>
          </w:p>
        </w:tc>
        <w:tc>
          <w:tcPr>
            <w:tcW w:w="121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sz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38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sz w:val="20"/>
              </w:rPr>
            </w:pPr>
          </w:p>
        </w:tc>
        <w:tc>
          <w:tcPr>
            <w:tcW w:w="121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sz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1065"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实验室排气筒（</w:t>
            </w:r>
            <w:r>
              <w:rPr>
                <w:rStyle w:val="20"/>
                <w:color w:val="auto"/>
              </w:rPr>
              <w:t>2</w:t>
            </w:r>
            <w:r>
              <w:rPr>
                <w:rStyle w:val="19"/>
                <w:rFonts w:hint="default"/>
                <w:color w:val="auto"/>
              </w:rPr>
              <w:t>个）</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2"/>
                <w:color w:val="auto"/>
              </w:rPr>
              <w:t>NH</w:t>
            </w:r>
            <w:r>
              <w:rPr>
                <w:rStyle w:val="23"/>
                <w:color w:val="auto"/>
              </w:rPr>
              <w:t>3</w:t>
            </w:r>
            <w:r>
              <w:rPr>
                <w:rStyle w:val="21"/>
                <w:rFonts w:hint="default"/>
                <w:color w:val="auto"/>
              </w:rPr>
              <w:t>、</w:t>
            </w:r>
            <w:r>
              <w:rPr>
                <w:rStyle w:val="22"/>
                <w:color w:val="auto"/>
              </w:rPr>
              <w:t>H</w:t>
            </w:r>
            <w:r>
              <w:rPr>
                <w:rStyle w:val="23"/>
                <w:color w:val="auto"/>
              </w:rPr>
              <w:t>2</w:t>
            </w:r>
            <w:r>
              <w:rPr>
                <w:rStyle w:val="22"/>
                <w:color w:val="auto"/>
              </w:rPr>
              <w:t>S</w:t>
            </w:r>
            <w:r>
              <w:rPr>
                <w:rStyle w:val="21"/>
                <w:rFonts w:hint="default"/>
                <w:color w:val="auto"/>
              </w:rPr>
              <w:t>、臭气浓度、颗粒物、非甲烷总烃、</w:t>
            </w:r>
            <w:r>
              <w:rPr>
                <w:rStyle w:val="22"/>
                <w:color w:val="auto"/>
              </w:rPr>
              <w:br w:type="textWrapping"/>
            </w:r>
            <w:r>
              <w:rPr>
                <w:rStyle w:val="21"/>
                <w:rFonts w:hint="default"/>
                <w:color w:val="auto"/>
              </w:rPr>
              <w:t>氯化氢、氟化物、硫酸雾、铬酸雾</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123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预处理及医废暂存间排气筒（</w:t>
            </w:r>
            <w:r>
              <w:rPr>
                <w:rStyle w:val="20"/>
                <w:color w:val="auto"/>
              </w:rPr>
              <w:t>15</w:t>
            </w:r>
            <w:r>
              <w:rPr>
                <w:rStyle w:val="19"/>
                <w:rFonts w:hint="default"/>
                <w:color w:val="auto"/>
              </w:rPr>
              <w:t>米、</w:t>
            </w:r>
            <w:r>
              <w:rPr>
                <w:rStyle w:val="20"/>
                <w:color w:val="auto"/>
              </w:rPr>
              <w:t>φ0.67m</w:t>
            </w:r>
            <w:r>
              <w:rPr>
                <w:rStyle w:val="19"/>
                <w:rFonts w:hint="default"/>
                <w:color w:val="auto"/>
              </w:rPr>
              <w:t>，</w:t>
            </w:r>
            <w:r>
              <w:rPr>
                <w:rStyle w:val="20"/>
                <w:color w:val="auto"/>
              </w:rPr>
              <w:t>1</w:t>
            </w:r>
            <w:r>
              <w:rPr>
                <w:rStyle w:val="19"/>
                <w:rFonts w:hint="default"/>
                <w:color w:val="auto"/>
              </w:rPr>
              <w:t>个断面）</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2"/>
                <w:color w:val="auto"/>
              </w:rPr>
              <w:t>NH</w:t>
            </w:r>
            <w:r>
              <w:rPr>
                <w:rStyle w:val="22"/>
                <w:color w:val="auto"/>
                <w:vertAlign w:val="subscript"/>
              </w:rPr>
              <w:t>3</w:t>
            </w:r>
            <w:r>
              <w:rPr>
                <w:rStyle w:val="21"/>
                <w:rFonts w:hint="default"/>
                <w:color w:val="auto"/>
              </w:rPr>
              <w:t>、</w:t>
            </w:r>
            <w:r>
              <w:rPr>
                <w:rStyle w:val="22"/>
                <w:color w:val="auto"/>
              </w:rPr>
              <w:t>H</w:t>
            </w:r>
            <w:r>
              <w:rPr>
                <w:rStyle w:val="22"/>
                <w:color w:val="auto"/>
                <w:vertAlign w:val="subscript"/>
              </w:rPr>
              <w:t>2</w:t>
            </w:r>
            <w:r>
              <w:rPr>
                <w:rStyle w:val="22"/>
                <w:color w:val="auto"/>
              </w:rPr>
              <w:t>S</w:t>
            </w:r>
            <w:r>
              <w:rPr>
                <w:rStyle w:val="21"/>
                <w:rFonts w:hint="default"/>
                <w:color w:val="auto"/>
              </w:rPr>
              <w:t>、臭气浓度、颗粒物、甲烷、非甲烷总烃、氯气、</w:t>
            </w:r>
            <w:r>
              <w:rPr>
                <w:rStyle w:val="22"/>
                <w:color w:val="auto"/>
              </w:rPr>
              <w:br w:type="textWrapping"/>
            </w:r>
            <w:r>
              <w:rPr>
                <w:rStyle w:val="21"/>
                <w:rFonts w:hint="default"/>
                <w:color w:val="auto"/>
              </w:rPr>
              <w:t>氯化氢、氟化物、硫酸雾、铬酸雾</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99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rPr>
            </w:pP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固化车间排气筒（</w:t>
            </w:r>
            <w:r>
              <w:rPr>
                <w:rStyle w:val="20"/>
                <w:color w:val="auto"/>
              </w:rPr>
              <w:t>15</w:t>
            </w:r>
            <w:r>
              <w:rPr>
                <w:rStyle w:val="19"/>
                <w:rFonts w:hint="default"/>
                <w:color w:val="auto"/>
              </w:rPr>
              <w:t>米、</w:t>
            </w:r>
            <w:r>
              <w:rPr>
                <w:rStyle w:val="20"/>
                <w:color w:val="auto"/>
              </w:rPr>
              <w:t>φ0.25m</w:t>
            </w:r>
            <w:r>
              <w:rPr>
                <w:rStyle w:val="19"/>
                <w:rFonts w:hint="default"/>
                <w:color w:val="auto"/>
              </w:rPr>
              <w:t>，</w:t>
            </w:r>
            <w:r>
              <w:rPr>
                <w:rStyle w:val="20"/>
                <w:color w:val="auto"/>
              </w:rPr>
              <w:t>1</w:t>
            </w:r>
            <w:r>
              <w:rPr>
                <w:rStyle w:val="19"/>
                <w:rFonts w:hint="default"/>
                <w:color w:val="auto"/>
              </w:rPr>
              <w:t>个断面）</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颗粒物、铅、砷、镉</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1260" w:hRule="atLeast"/>
        </w:trPr>
        <w:tc>
          <w:tcPr>
            <w:tcW w:w="893"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sz w:val="20"/>
              </w:rPr>
            </w:pPr>
          </w:p>
        </w:tc>
        <w:tc>
          <w:tcPr>
            <w:tcW w:w="16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焚烧厂区无组织排放气体检测</w:t>
            </w:r>
          </w:p>
        </w:tc>
        <w:tc>
          <w:tcPr>
            <w:tcW w:w="14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周界四周，共</w:t>
            </w:r>
            <w:r>
              <w:rPr>
                <w:rStyle w:val="20"/>
                <w:color w:val="auto"/>
              </w:rPr>
              <w:t>4</w:t>
            </w:r>
            <w:r>
              <w:rPr>
                <w:rStyle w:val="19"/>
                <w:rFonts w:hint="default"/>
                <w:color w:val="auto"/>
              </w:rPr>
              <w:t>个</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硫化氢；氨；氯化氢；氟化物；氯气；颗粒物；臭气浓度；甲烷；非甲烷总烃；</w:t>
            </w:r>
          </w:p>
        </w:tc>
        <w:tc>
          <w:tcPr>
            <w:tcW w:w="121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3</w:t>
            </w:r>
            <w:r>
              <w:rPr>
                <w:rStyle w:val="19"/>
                <w:rFonts w:hint="default"/>
                <w:color w:val="auto"/>
              </w:rPr>
              <w:t>次</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噪声</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厂界四周</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周界四周，共</w:t>
            </w:r>
            <w:r>
              <w:rPr>
                <w:rStyle w:val="20"/>
                <w:color w:val="auto"/>
              </w:rPr>
              <w:t>4</w:t>
            </w:r>
            <w:r>
              <w:rPr>
                <w:rStyle w:val="19"/>
                <w:rFonts w:hint="default"/>
                <w:color w:val="auto"/>
              </w:rPr>
              <w:t>个</w:t>
            </w:r>
          </w:p>
        </w:tc>
        <w:tc>
          <w:tcPr>
            <w:tcW w:w="2155" w:type="dxa"/>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噪声（等效连续</w:t>
            </w:r>
            <w:r>
              <w:rPr>
                <w:rStyle w:val="20"/>
                <w:color w:val="auto"/>
              </w:rPr>
              <w:t>A</w:t>
            </w:r>
            <w:r>
              <w:rPr>
                <w:rStyle w:val="19"/>
                <w:rFonts w:hint="default"/>
                <w:color w:val="auto"/>
              </w:rPr>
              <w:t>声级）</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1次/季</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2</w:t>
            </w:r>
            <w:r>
              <w:rPr>
                <w:rStyle w:val="19"/>
                <w:rFonts w:hint="default"/>
                <w:color w:val="auto"/>
              </w:rPr>
              <w:t>次</w:t>
            </w:r>
            <w:r>
              <w:rPr>
                <w:rStyle w:val="19"/>
                <w:rFonts w:hint="default"/>
                <w:color w:val="auto"/>
              </w:rPr>
              <w:br w:type="textWrapping"/>
            </w:r>
            <w:r>
              <w:rPr>
                <w:rStyle w:val="19"/>
                <w:rFonts w:hint="default"/>
                <w:color w:val="auto"/>
              </w:rPr>
              <w:t>（昼夜各一次）</w:t>
            </w:r>
          </w:p>
        </w:tc>
      </w:tr>
      <w:tr>
        <w:tblPrEx>
          <w:tblCellMar>
            <w:top w:w="0" w:type="dxa"/>
            <w:left w:w="0" w:type="dxa"/>
            <w:bottom w:w="0" w:type="dxa"/>
            <w:right w:w="0" w:type="dxa"/>
          </w:tblCellMar>
        </w:tblPrEx>
        <w:trPr>
          <w:trHeight w:val="17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周边环境</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环境空气</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主导风向上风向和最大落地浓度点附近，</w:t>
            </w:r>
            <w:r>
              <w:rPr>
                <w:rStyle w:val="25"/>
                <w:rFonts w:hint="default"/>
                <w:color w:val="auto"/>
              </w:rPr>
              <w:t>共</w:t>
            </w:r>
            <w:r>
              <w:rPr>
                <w:rStyle w:val="24"/>
                <w:color w:val="auto"/>
              </w:rPr>
              <w:t>2</w:t>
            </w:r>
            <w:r>
              <w:rPr>
                <w:rStyle w:val="25"/>
                <w:rFonts w:hint="default"/>
                <w:color w:val="auto"/>
              </w:rPr>
              <w:t>个点</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2"/>
                <w:color w:val="auto"/>
              </w:rPr>
              <w:t>SO</w:t>
            </w:r>
            <w:r>
              <w:rPr>
                <w:rStyle w:val="23"/>
                <w:color w:val="auto"/>
              </w:rPr>
              <w:t>2</w:t>
            </w:r>
            <w:r>
              <w:rPr>
                <w:rStyle w:val="21"/>
                <w:rFonts w:hint="default"/>
                <w:color w:val="auto"/>
              </w:rPr>
              <w:t>、</w:t>
            </w:r>
            <w:r>
              <w:rPr>
                <w:rStyle w:val="22"/>
                <w:color w:val="auto"/>
              </w:rPr>
              <w:t>NO</w:t>
            </w:r>
            <w:r>
              <w:rPr>
                <w:rStyle w:val="23"/>
                <w:color w:val="auto"/>
              </w:rPr>
              <w:t>X</w:t>
            </w:r>
            <w:r>
              <w:rPr>
                <w:rStyle w:val="21"/>
                <w:rFonts w:hint="default"/>
                <w:color w:val="auto"/>
              </w:rPr>
              <w:t>、颗粒物、</w:t>
            </w:r>
            <w:r>
              <w:rPr>
                <w:rStyle w:val="22"/>
                <w:color w:val="auto"/>
              </w:rPr>
              <w:t>PM10</w:t>
            </w:r>
            <w:r>
              <w:rPr>
                <w:rStyle w:val="21"/>
                <w:rFonts w:hint="default"/>
                <w:color w:val="auto"/>
              </w:rPr>
              <w:t>、</w:t>
            </w:r>
            <w:r>
              <w:rPr>
                <w:rStyle w:val="22"/>
                <w:color w:val="auto"/>
              </w:rPr>
              <w:t>PM2.5</w:t>
            </w:r>
            <w:r>
              <w:rPr>
                <w:rStyle w:val="21"/>
                <w:rFonts w:hint="default"/>
                <w:color w:val="auto"/>
              </w:rPr>
              <w:t>，镉、汞、铅、氟化物、</w:t>
            </w:r>
            <w:r>
              <w:rPr>
                <w:rStyle w:val="22"/>
                <w:color w:val="auto"/>
              </w:rPr>
              <w:t>HCl</w:t>
            </w:r>
            <w:r>
              <w:rPr>
                <w:rStyle w:val="21"/>
                <w:rFonts w:hint="default"/>
                <w:color w:val="auto"/>
              </w:rPr>
              <w:t>、</w:t>
            </w:r>
            <w:r>
              <w:rPr>
                <w:rStyle w:val="22"/>
                <w:color w:val="auto"/>
              </w:rPr>
              <w:t>NH</w:t>
            </w:r>
            <w:r>
              <w:rPr>
                <w:rStyle w:val="22"/>
                <w:color w:val="auto"/>
                <w:vertAlign w:val="subscript"/>
              </w:rPr>
              <w:t>3</w:t>
            </w:r>
            <w:r>
              <w:rPr>
                <w:rStyle w:val="21"/>
                <w:rFonts w:hint="default"/>
                <w:color w:val="auto"/>
              </w:rPr>
              <w:t>、</w:t>
            </w:r>
            <w:r>
              <w:rPr>
                <w:rStyle w:val="22"/>
                <w:color w:val="auto"/>
              </w:rPr>
              <w:t>H</w:t>
            </w:r>
            <w:r>
              <w:rPr>
                <w:rStyle w:val="22"/>
                <w:color w:val="auto"/>
                <w:vertAlign w:val="subscript"/>
              </w:rPr>
              <w:t>2</w:t>
            </w:r>
            <w:r>
              <w:rPr>
                <w:rStyle w:val="22"/>
                <w:color w:val="auto"/>
              </w:rPr>
              <w:t>S</w:t>
            </w:r>
            <w:r>
              <w:rPr>
                <w:rStyle w:val="21"/>
                <w:rFonts w:hint="default"/>
                <w:color w:val="auto"/>
              </w:rPr>
              <w:t>、二噁英、</w:t>
            </w:r>
            <w:r>
              <w:rPr>
                <w:rStyle w:val="26"/>
                <w:rFonts w:hint="default"/>
                <w:b w:val="0"/>
                <w:color w:val="auto"/>
              </w:rPr>
              <w:t>氯气、臭气浓度</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半年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监测2天每天1次</w:t>
            </w:r>
          </w:p>
        </w:tc>
      </w:tr>
      <w:tr>
        <w:tblPrEx>
          <w:tblCellMar>
            <w:top w:w="0" w:type="dxa"/>
            <w:left w:w="0" w:type="dxa"/>
            <w:bottom w:w="0" w:type="dxa"/>
            <w:right w:w="0" w:type="dxa"/>
          </w:tblCellMar>
        </w:tblPrEx>
        <w:trPr>
          <w:trHeight w:val="1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地表水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厂外排涝河</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21"/>
                <w:rFonts w:hint="default"/>
                <w:color w:val="auto"/>
              </w:rPr>
              <w:t>水温、</w:t>
            </w:r>
            <w:r>
              <w:rPr>
                <w:rStyle w:val="22"/>
                <w:color w:val="auto"/>
              </w:rPr>
              <w:t>pH</w:t>
            </w:r>
            <w:r>
              <w:rPr>
                <w:rStyle w:val="21"/>
                <w:rFonts w:hint="default"/>
                <w:color w:val="auto"/>
              </w:rPr>
              <w:t>值、悬浮物、溶解氧、高锰酸盐指数、五日生化需氧量、氨氮、总磷、石油类、挥发酚、镉、汞、铅、总大肠菌群、细菌总数。</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监测1天每天</w:t>
            </w:r>
            <w:r>
              <w:rPr>
                <w:rStyle w:val="20"/>
                <w:color w:val="auto"/>
              </w:rPr>
              <w:t>1</w:t>
            </w:r>
            <w:r>
              <w:rPr>
                <w:rStyle w:val="19"/>
                <w:rFonts w:hint="default"/>
                <w:color w:val="auto"/>
              </w:rPr>
              <w:t>次</w:t>
            </w:r>
          </w:p>
        </w:tc>
      </w:tr>
      <w:tr>
        <w:tblPrEx>
          <w:tblCellMar>
            <w:top w:w="0" w:type="dxa"/>
            <w:left w:w="0" w:type="dxa"/>
            <w:bottom w:w="0" w:type="dxa"/>
            <w:right w:w="0" w:type="dxa"/>
          </w:tblCellMar>
        </w:tblPrEx>
        <w:trPr>
          <w:trHeight w:val="24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sz w:val="20"/>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地下水</w:t>
            </w:r>
            <w:r>
              <w:rPr>
                <w:rStyle w:val="20"/>
                <w:color w:val="auto"/>
              </w:rPr>
              <w:br w:type="textWrapping"/>
            </w:r>
            <w:r>
              <w:rPr>
                <w:rStyle w:val="19"/>
                <w:rFonts w:hint="default"/>
                <w:color w:val="auto"/>
              </w:rPr>
              <w:t>（</w:t>
            </w:r>
            <w:r>
              <w:rPr>
                <w:rStyle w:val="20"/>
                <w:color w:val="auto"/>
              </w:rPr>
              <w:t>6</w:t>
            </w:r>
            <w:r>
              <w:rPr>
                <w:rStyle w:val="19"/>
                <w:rFonts w:hint="default"/>
                <w:color w:val="auto"/>
              </w:rPr>
              <w:t>个点）</w:t>
            </w:r>
          </w:p>
        </w:tc>
        <w:tc>
          <w:tcPr>
            <w:tcW w:w="0" w:type="auto"/>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20"/>
              </w:rPr>
            </w:pPr>
            <w:r>
              <w:rPr>
                <w:rStyle w:val="22"/>
                <w:color w:val="auto"/>
              </w:rPr>
              <w:t>pH</w:t>
            </w:r>
            <w:r>
              <w:rPr>
                <w:rStyle w:val="21"/>
                <w:rFonts w:hint="default"/>
                <w:color w:val="auto"/>
              </w:rPr>
              <w:t>、耗氧量、溶解性总固体、氯化物、硝酸盐、亚硝酸盐、氨氮、总磷、氟化物、氰化物、挥发性</w:t>
            </w:r>
            <w:r>
              <w:rPr>
                <w:rStyle w:val="22"/>
                <w:color w:val="auto"/>
              </w:rPr>
              <w:t xml:space="preserve"> </w:t>
            </w:r>
            <w:r>
              <w:rPr>
                <w:rStyle w:val="21"/>
                <w:rFonts w:hint="default"/>
                <w:color w:val="auto"/>
              </w:rPr>
              <w:t>酚类、烷基汞、汞、铅、镉、总铬、六价铬、铜、锌、铍、钡、镍、砷、总大肠菌群、菌落总数、三</w:t>
            </w:r>
            <w:r>
              <w:rPr>
                <w:rStyle w:val="22"/>
                <w:color w:val="auto"/>
              </w:rPr>
              <w:t xml:space="preserve"> </w:t>
            </w:r>
            <w:r>
              <w:rPr>
                <w:rStyle w:val="21"/>
                <w:rFonts w:hint="default"/>
                <w:color w:val="auto"/>
              </w:rPr>
              <w:t>氯甲烷、四氯化碳、苯、甲苯</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月</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运行第一年</w:t>
            </w:r>
            <w:r>
              <w:rPr>
                <w:rStyle w:val="20"/>
                <w:color w:val="auto"/>
              </w:rPr>
              <w:t>1</w:t>
            </w:r>
            <w:r>
              <w:rPr>
                <w:rStyle w:val="19"/>
                <w:rFonts w:hint="default"/>
                <w:color w:val="auto"/>
              </w:rPr>
              <w:t>次</w:t>
            </w:r>
            <w:r>
              <w:rPr>
                <w:rStyle w:val="20"/>
                <w:color w:val="auto"/>
              </w:rPr>
              <w:t>/</w:t>
            </w:r>
            <w:r>
              <w:rPr>
                <w:rStyle w:val="19"/>
                <w:rFonts w:hint="default"/>
                <w:color w:val="auto"/>
              </w:rPr>
              <w:t>月</w:t>
            </w:r>
            <w:r>
              <w:rPr>
                <w:rStyle w:val="19"/>
                <w:rFonts w:hint="default"/>
                <w:color w:val="auto"/>
              </w:rPr>
              <w:br w:type="textWrapping"/>
            </w:r>
            <w:r>
              <w:rPr>
                <w:rStyle w:val="19"/>
                <w:rFonts w:hint="default"/>
                <w:color w:val="auto"/>
              </w:rPr>
              <w:t>监测1天每天1次。</w:t>
            </w:r>
          </w:p>
        </w:tc>
      </w:tr>
      <w:tr>
        <w:tblPrEx>
          <w:tblCellMar>
            <w:top w:w="0" w:type="dxa"/>
            <w:left w:w="0" w:type="dxa"/>
            <w:bottom w:w="0" w:type="dxa"/>
            <w:right w:w="0" w:type="dxa"/>
          </w:tblCellMar>
        </w:tblPrEx>
        <w:trPr>
          <w:trHeight w:val="77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周边环境</w:t>
            </w: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土壤</w:t>
            </w:r>
            <w:r>
              <w:rPr>
                <w:rStyle w:val="20"/>
                <w:color w:val="auto"/>
              </w:rPr>
              <w:br w:type="textWrapping"/>
            </w:r>
            <w:r>
              <w:rPr>
                <w:rStyle w:val="19"/>
                <w:rFonts w:hint="default"/>
                <w:color w:val="auto"/>
              </w:rPr>
              <w:t>（</w:t>
            </w:r>
            <w:r>
              <w:rPr>
                <w:rStyle w:val="20"/>
                <w:color w:val="auto"/>
              </w:rPr>
              <w:t>4</w:t>
            </w:r>
            <w:r>
              <w:rPr>
                <w:rStyle w:val="19"/>
                <w:rFonts w:hint="default"/>
                <w:color w:val="auto"/>
              </w:rPr>
              <w:t>个点）</w:t>
            </w:r>
          </w:p>
        </w:tc>
        <w:tc>
          <w:tcPr>
            <w:tcW w:w="0" w:type="auto"/>
            <w:tcBorders>
              <w:top w:val="single" w:color="000000" w:sz="4" w:space="0"/>
              <w:left w:val="nil"/>
              <w:bottom w:val="nil"/>
              <w:right w:val="nil"/>
            </w:tcBorders>
            <w:shd w:val="clear" w:color="auto" w:fill="auto"/>
            <w:noWrap/>
            <w:tcMar>
              <w:top w:w="15" w:type="dxa"/>
              <w:left w:w="15" w:type="dxa"/>
              <w:right w:w="15" w:type="dxa"/>
            </w:tcMar>
            <w:vAlign w:val="center"/>
          </w:tcPr>
          <w:p>
            <w:pPr>
              <w:jc w:val="center"/>
              <w:rPr>
                <w:rFonts w:ascii="宋体" w:hAnsi="宋体" w:cs="宋体"/>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Style w:val="19"/>
                <w:rFonts w:hint="default"/>
                <w:color w:val="auto"/>
              </w:rPr>
              <w:t>砷；镉；铬（六价）；铜；铅；汞；镍；四氯化碳；氯仿；氯甲烷；</w:t>
            </w:r>
            <w:r>
              <w:rPr>
                <w:rStyle w:val="20"/>
                <w:color w:val="auto"/>
              </w:rPr>
              <w:t>1,1-</w:t>
            </w:r>
            <w:r>
              <w:rPr>
                <w:rStyle w:val="19"/>
                <w:rFonts w:hint="default"/>
                <w:color w:val="auto"/>
              </w:rPr>
              <w:t>二氯乙烷；</w:t>
            </w:r>
            <w:r>
              <w:rPr>
                <w:rStyle w:val="20"/>
                <w:color w:val="auto"/>
              </w:rPr>
              <w:t>1,2-</w:t>
            </w:r>
            <w:r>
              <w:rPr>
                <w:rStyle w:val="19"/>
                <w:rFonts w:hint="default"/>
                <w:color w:val="auto"/>
              </w:rPr>
              <w:t>二氯乙烷；</w:t>
            </w:r>
            <w:r>
              <w:rPr>
                <w:rStyle w:val="20"/>
                <w:color w:val="auto"/>
              </w:rPr>
              <w:t>1,1-</w:t>
            </w:r>
            <w:r>
              <w:rPr>
                <w:rStyle w:val="19"/>
                <w:rFonts w:hint="default"/>
                <w:color w:val="auto"/>
              </w:rPr>
              <w:t>二氯乙烯；顺</w:t>
            </w:r>
            <w:r>
              <w:rPr>
                <w:rStyle w:val="20"/>
                <w:color w:val="auto"/>
              </w:rPr>
              <w:t>-1,2-</w:t>
            </w:r>
            <w:r>
              <w:rPr>
                <w:rStyle w:val="19"/>
                <w:rFonts w:hint="default"/>
                <w:color w:val="auto"/>
              </w:rPr>
              <w:t>二氯乙烯；反</w:t>
            </w:r>
            <w:r>
              <w:rPr>
                <w:rStyle w:val="20"/>
                <w:color w:val="auto"/>
              </w:rPr>
              <w:t>-1,2-</w:t>
            </w:r>
            <w:r>
              <w:rPr>
                <w:rStyle w:val="19"/>
                <w:rFonts w:hint="default"/>
                <w:color w:val="auto"/>
              </w:rPr>
              <w:t>二氯乙烯；二氯甲烷；</w:t>
            </w:r>
            <w:r>
              <w:rPr>
                <w:rStyle w:val="20"/>
                <w:color w:val="auto"/>
              </w:rPr>
              <w:t>1,2-</w:t>
            </w:r>
            <w:r>
              <w:rPr>
                <w:rStyle w:val="19"/>
                <w:rFonts w:hint="default"/>
                <w:color w:val="auto"/>
              </w:rPr>
              <w:t>二氯丙烷；</w:t>
            </w:r>
            <w:r>
              <w:rPr>
                <w:rStyle w:val="20"/>
                <w:color w:val="auto"/>
              </w:rPr>
              <w:t>1,1,1,2-</w:t>
            </w:r>
            <w:r>
              <w:rPr>
                <w:rStyle w:val="19"/>
                <w:rFonts w:hint="default"/>
                <w:color w:val="auto"/>
              </w:rPr>
              <w:t>四氯乙烷；</w:t>
            </w:r>
            <w:r>
              <w:rPr>
                <w:rStyle w:val="20"/>
                <w:color w:val="auto"/>
              </w:rPr>
              <w:t>1,1,2,2-</w:t>
            </w:r>
            <w:r>
              <w:rPr>
                <w:rStyle w:val="19"/>
                <w:rFonts w:hint="default"/>
                <w:color w:val="auto"/>
              </w:rPr>
              <w:t>四氯乙烷；四氯乙烯；</w:t>
            </w:r>
            <w:r>
              <w:rPr>
                <w:rStyle w:val="20"/>
                <w:color w:val="auto"/>
              </w:rPr>
              <w:t>1,1,1-</w:t>
            </w:r>
            <w:r>
              <w:rPr>
                <w:rStyle w:val="19"/>
                <w:rFonts w:hint="default"/>
                <w:color w:val="auto"/>
              </w:rPr>
              <w:t>三氯乙烷；</w:t>
            </w:r>
            <w:r>
              <w:rPr>
                <w:rStyle w:val="20"/>
                <w:color w:val="auto"/>
              </w:rPr>
              <w:t>1,1,2-</w:t>
            </w:r>
            <w:r>
              <w:rPr>
                <w:rStyle w:val="19"/>
                <w:rFonts w:hint="default"/>
                <w:color w:val="auto"/>
              </w:rPr>
              <w:t>三氯乙烷；三氯乙烯；</w:t>
            </w:r>
            <w:r>
              <w:rPr>
                <w:rStyle w:val="20"/>
                <w:color w:val="auto"/>
              </w:rPr>
              <w:t>1,2,3,-</w:t>
            </w:r>
            <w:r>
              <w:rPr>
                <w:rStyle w:val="19"/>
                <w:rFonts w:hint="default"/>
                <w:color w:val="auto"/>
              </w:rPr>
              <w:t>三氯丙烷；氯乙烯；苯；氯苯；</w:t>
            </w:r>
            <w:r>
              <w:rPr>
                <w:rStyle w:val="20"/>
                <w:color w:val="auto"/>
              </w:rPr>
              <w:t>1,2-</w:t>
            </w:r>
            <w:r>
              <w:rPr>
                <w:rStyle w:val="19"/>
                <w:rFonts w:hint="default"/>
                <w:color w:val="auto"/>
              </w:rPr>
              <w:t>二氯苯；</w:t>
            </w:r>
            <w:r>
              <w:rPr>
                <w:rStyle w:val="20"/>
                <w:color w:val="auto"/>
              </w:rPr>
              <w:t>1,4-</w:t>
            </w:r>
            <w:r>
              <w:rPr>
                <w:rStyle w:val="19"/>
                <w:rFonts w:hint="default"/>
                <w:color w:val="auto"/>
              </w:rPr>
              <w:t>二氯苯；乙苯；苯乙烯；甲苯；间二甲苯</w:t>
            </w:r>
            <w:r>
              <w:rPr>
                <w:rStyle w:val="20"/>
                <w:color w:val="auto"/>
              </w:rPr>
              <w:t>+</w:t>
            </w:r>
            <w:r>
              <w:rPr>
                <w:rStyle w:val="19"/>
                <w:rFonts w:hint="default"/>
                <w:color w:val="auto"/>
              </w:rPr>
              <w:t>对二甲苯；邻二甲苯；硝基苯；苯胺；</w:t>
            </w:r>
            <w:r>
              <w:rPr>
                <w:rStyle w:val="20"/>
                <w:color w:val="auto"/>
              </w:rPr>
              <w:t>2-</w:t>
            </w:r>
            <w:r>
              <w:rPr>
                <w:rStyle w:val="19"/>
                <w:rFonts w:hint="default"/>
                <w:color w:val="auto"/>
              </w:rPr>
              <w:t>氯酚；苯并［</w:t>
            </w:r>
            <w:r>
              <w:rPr>
                <w:rStyle w:val="20"/>
                <w:color w:val="auto"/>
              </w:rPr>
              <w:t>a</w:t>
            </w:r>
            <w:r>
              <w:rPr>
                <w:rStyle w:val="19"/>
                <w:rFonts w:hint="default"/>
                <w:color w:val="auto"/>
              </w:rPr>
              <w:t>］蒽；苯并［</w:t>
            </w:r>
            <w:r>
              <w:rPr>
                <w:rStyle w:val="20"/>
                <w:color w:val="auto"/>
              </w:rPr>
              <w:t>a</w:t>
            </w:r>
            <w:r>
              <w:rPr>
                <w:rStyle w:val="19"/>
                <w:rFonts w:hint="default"/>
                <w:color w:val="auto"/>
              </w:rPr>
              <w:t>］芘；苯并［</w:t>
            </w:r>
            <w:r>
              <w:rPr>
                <w:rStyle w:val="20"/>
                <w:color w:val="auto"/>
              </w:rPr>
              <w:t>b</w:t>
            </w:r>
            <w:r>
              <w:rPr>
                <w:rStyle w:val="19"/>
                <w:rFonts w:hint="default"/>
                <w:color w:val="auto"/>
              </w:rPr>
              <w:t>］荧蒽；苯并［</w:t>
            </w:r>
            <w:r>
              <w:rPr>
                <w:rStyle w:val="20"/>
                <w:color w:val="auto"/>
              </w:rPr>
              <w:t>k</w:t>
            </w:r>
            <w:r>
              <w:rPr>
                <w:rStyle w:val="19"/>
                <w:rFonts w:hint="default"/>
                <w:color w:val="auto"/>
              </w:rPr>
              <w:t>］荧蒽；䓛；二苯并［</w:t>
            </w:r>
            <w:r>
              <w:rPr>
                <w:rStyle w:val="20"/>
                <w:color w:val="auto"/>
              </w:rPr>
              <w:t>a,h</w:t>
            </w:r>
            <w:r>
              <w:rPr>
                <w:rStyle w:val="19"/>
                <w:rFonts w:hint="default"/>
                <w:color w:val="auto"/>
              </w:rPr>
              <w:t>］蒽；茚并［</w:t>
            </w:r>
            <w:r>
              <w:rPr>
                <w:rStyle w:val="20"/>
                <w:color w:val="auto"/>
              </w:rPr>
              <w:t>1,2,3-cd</w:t>
            </w:r>
            <w:r>
              <w:rPr>
                <w:rStyle w:val="19"/>
                <w:rFonts w:hint="default"/>
                <w:color w:val="auto"/>
              </w:rPr>
              <w:t>］芘；萘；二噁英；</w:t>
            </w:r>
            <w:r>
              <w:rPr>
                <w:rStyle w:val="20"/>
                <w:color w:val="auto"/>
              </w:rPr>
              <w:t xml:space="preserve">pH </w:t>
            </w:r>
            <w:r>
              <w:rPr>
                <w:rStyle w:val="19"/>
                <w:rFonts w:hint="default"/>
                <w:color w:val="auto"/>
              </w:rPr>
              <w:t>值；</w:t>
            </w:r>
          </w:p>
        </w:tc>
        <w:tc>
          <w:tcPr>
            <w:tcW w:w="0" w:type="auto"/>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sz w:val="20"/>
              </w:rPr>
            </w:pPr>
            <w:r>
              <w:rPr>
                <w:rStyle w:val="20"/>
                <w:color w:val="auto"/>
              </w:rPr>
              <w:t>1</w:t>
            </w:r>
            <w:r>
              <w:rPr>
                <w:rStyle w:val="19"/>
                <w:rFonts w:hint="default"/>
                <w:color w:val="auto"/>
              </w:rPr>
              <w:t>次</w:t>
            </w:r>
            <w:r>
              <w:rPr>
                <w:rStyle w:val="20"/>
                <w:color w:val="auto"/>
              </w:rPr>
              <w:t>/</w:t>
            </w:r>
            <w:r>
              <w:rPr>
                <w:rStyle w:val="19"/>
                <w:rFonts w:hint="default"/>
                <w:color w:val="auto"/>
              </w:rPr>
              <w:t>年</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监测1天每天1次</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农作物</w:t>
            </w:r>
            <w:r>
              <w:rPr>
                <w:rFonts w:hint="eastAsia" w:ascii="宋体" w:hAnsi="宋体" w:cs="宋体"/>
                <w:color w:val="000000"/>
                <w:kern w:val="0"/>
                <w:sz w:val="20"/>
              </w:rPr>
              <w:br w:type="textWrapping"/>
            </w:r>
            <w:r>
              <w:rPr>
                <w:rFonts w:hint="eastAsia" w:ascii="宋体" w:hAnsi="宋体" w:cs="宋体"/>
                <w:color w:val="000000"/>
                <w:kern w:val="0"/>
                <w:sz w:val="20"/>
              </w:rPr>
              <w:t>（4种）</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二噁英</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color w:val="000000"/>
                <w:sz w:val="20"/>
              </w:rPr>
            </w:pPr>
            <w:r>
              <w:rPr>
                <w:rStyle w:val="20"/>
              </w:rPr>
              <w:t>1</w:t>
            </w:r>
            <w:r>
              <w:rPr>
                <w:rStyle w:val="19"/>
                <w:rFonts w:hint="default"/>
              </w:rPr>
              <w:t>次</w:t>
            </w:r>
            <w:r>
              <w:rPr>
                <w:rStyle w:val="20"/>
              </w:rPr>
              <w:t>/</w:t>
            </w:r>
            <w:r>
              <w:rPr>
                <w:rStyle w:val="19"/>
                <w:rFonts w:hint="default"/>
              </w:rPr>
              <w:t>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r>
      <w:tr>
        <w:tblPrEx>
          <w:tblCellMar>
            <w:top w:w="0" w:type="dxa"/>
            <w:left w:w="0" w:type="dxa"/>
            <w:bottom w:w="0" w:type="dxa"/>
            <w:right w:w="0" w:type="dxa"/>
          </w:tblCellMar>
        </w:tblPrEx>
        <w:trPr>
          <w:trHeight w:val="5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c>
          <w:tcPr>
            <w:tcW w:w="1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Style w:val="19"/>
                <w:rFonts w:hint="default"/>
              </w:rPr>
              <w:t>水产</w:t>
            </w:r>
            <w:r>
              <w:rPr>
                <w:rStyle w:val="20"/>
              </w:rPr>
              <w:br w:type="textWrapping"/>
            </w:r>
            <w:r>
              <w:rPr>
                <w:rStyle w:val="19"/>
                <w:rFonts w:hint="default"/>
              </w:rPr>
              <w:t>（</w:t>
            </w:r>
            <w:r>
              <w:rPr>
                <w:rStyle w:val="20"/>
              </w:rPr>
              <w:t>3</w:t>
            </w:r>
            <w:r>
              <w:rPr>
                <w:rStyle w:val="19"/>
                <w:rFonts w:hint="default"/>
              </w:rPr>
              <w:t>种）</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000000"/>
                <w:sz w:val="20"/>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二噁英</w:t>
            </w:r>
          </w:p>
        </w:tc>
        <w:tc>
          <w:tcPr>
            <w:tcW w:w="12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color w:val="000000"/>
                <w:sz w:val="20"/>
              </w:rPr>
            </w:pPr>
            <w:r>
              <w:rPr>
                <w:rStyle w:val="20"/>
              </w:rPr>
              <w:t>1</w:t>
            </w:r>
            <w:r>
              <w:rPr>
                <w:rStyle w:val="19"/>
                <w:rFonts w:hint="default"/>
              </w:rPr>
              <w:t>次</w:t>
            </w:r>
            <w:r>
              <w:rPr>
                <w:rStyle w:val="20"/>
              </w:rPr>
              <w:t>/</w:t>
            </w:r>
            <w:r>
              <w:rPr>
                <w:rStyle w:val="19"/>
                <w:rFonts w:hint="default"/>
              </w:rPr>
              <w:t>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rPr>
            </w:pPr>
          </w:p>
        </w:tc>
      </w:tr>
    </w:tbl>
    <w:p>
      <w:pPr>
        <w:pStyle w:val="2"/>
      </w:pPr>
    </w:p>
    <w:p>
      <w:pPr>
        <w:pStyle w:val="8"/>
        <w:spacing w:line="360" w:lineRule="auto"/>
        <w:jc w:val="left"/>
        <w:rPr>
          <w:rFonts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 xml:space="preserve"> </w:t>
      </w:r>
      <w:r>
        <w:rPr>
          <w:rFonts w:hint="eastAsia" w:ascii="仿宋_GB2312" w:hAnsi="宋体" w:eastAsia="仿宋_GB2312"/>
          <w:b w:val="0"/>
          <w:kern w:val="2"/>
          <w:sz w:val="24"/>
          <w:szCs w:val="22"/>
          <w:lang w:val="en-US" w:eastAsia="zh-CN"/>
        </w:rPr>
        <w:t xml:space="preserve">   </w:t>
      </w:r>
      <w:r>
        <w:rPr>
          <w:rFonts w:hint="eastAsia" w:ascii="仿宋_GB2312" w:hAnsi="宋体" w:eastAsia="仿宋_GB2312"/>
          <w:b w:val="0"/>
          <w:kern w:val="2"/>
          <w:sz w:val="24"/>
          <w:szCs w:val="22"/>
          <w:lang w:val="en-US"/>
        </w:rPr>
        <w:t xml:space="preserve"> 二、招标人如临时增加招标检测内容清单以内的检测需求，按照中标人中标单价支付检测费用。</w:t>
      </w:r>
    </w:p>
    <w:p>
      <w:pPr>
        <w:pStyle w:val="8"/>
        <w:spacing w:line="360" w:lineRule="auto"/>
        <w:jc w:val="left"/>
        <w:rPr>
          <w:rFonts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 xml:space="preserve">     三、临时应急检测要求：招标人因特殊情况，需应急检测服务，中标人能立即响应，在4小时内赶到现场开展采样测试工作。</w:t>
      </w:r>
    </w:p>
    <w:p>
      <w:pPr>
        <w:pStyle w:val="8"/>
        <w:spacing w:line="360" w:lineRule="auto"/>
        <w:ind w:firstLine="480" w:firstLineChars="200"/>
        <w:jc w:val="left"/>
        <w:rPr>
          <w:rFonts w:hint="eastAsia"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四、采样要求：每批次采样人员均要对委托的采样点位熟悉，采样人员要提前三天报备委托方。</w:t>
      </w:r>
    </w:p>
    <w:p>
      <w:pPr>
        <w:pStyle w:val="8"/>
        <w:spacing w:line="360" w:lineRule="auto"/>
        <w:jc w:val="left"/>
        <w:rPr>
          <w:rFonts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 xml:space="preserve">     五、报告要求：采样由中标人负责。在满足正常监测工作条件的情况下，</w:t>
      </w:r>
      <w:r>
        <w:rPr>
          <w:rFonts w:hint="eastAsia" w:ascii="仿宋_GB2312" w:hAnsi="宋体" w:eastAsia="仿宋_GB2312"/>
          <w:b w:val="0"/>
          <w:bCs/>
          <w:color w:val="auto"/>
          <w:kern w:val="2"/>
          <w:sz w:val="24"/>
          <w:szCs w:val="22"/>
          <w:lang w:val="en-US"/>
        </w:rPr>
        <w:t>每次</w:t>
      </w:r>
      <w:r>
        <w:rPr>
          <w:rFonts w:hint="eastAsia" w:ascii="仿宋_GB2312" w:hAnsi="宋体" w:eastAsia="仿宋_GB2312"/>
          <w:b w:val="0"/>
          <w:kern w:val="2"/>
          <w:sz w:val="24"/>
          <w:szCs w:val="22"/>
          <w:lang w:val="en-US"/>
        </w:rPr>
        <w:t>采样结束后，中标人出具相应的独立检测报告（加盖CMA章），包括一式两份的纸质检测报告及一份电子报告。电子报告需在当月月底前出具，书面报告（一式两份）需在次月5号前送达。</w:t>
      </w:r>
    </w:p>
    <w:p>
      <w:pPr>
        <w:pStyle w:val="8"/>
        <w:spacing w:line="360" w:lineRule="auto"/>
        <w:jc w:val="left"/>
        <w:rPr>
          <w:rFonts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 xml:space="preserve">     六、测定准确度要求：每一批样品至少带一个质控样品。</w:t>
      </w:r>
    </w:p>
    <w:p>
      <w:pPr>
        <w:pStyle w:val="8"/>
        <w:spacing w:line="360" w:lineRule="auto"/>
        <w:jc w:val="left"/>
        <w:rPr>
          <w:rFonts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 xml:space="preserve">     七、投标人须在杭州地区范围内拥有独立实验室，工作场所面积不少于1000平方米，满足招标人所有检测项目的检测需求，并能确保样品的有效性。</w:t>
      </w:r>
    </w:p>
    <w:p>
      <w:pPr>
        <w:pStyle w:val="8"/>
        <w:spacing w:line="360" w:lineRule="auto"/>
        <w:jc w:val="left"/>
        <w:rPr>
          <w:rFonts w:ascii="仿宋_GB2312" w:hAnsi="宋体" w:eastAsia="仿宋_GB2312"/>
          <w:b w:val="0"/>
          <w:kern w:val="2"/>
          <w:sz w:val="24"/>
          <w:szCs w:val="22"/>
          <w:lang w:val="en-US"/>
        </w:rPr>
      </w:pPr>
      <w:r>
        <w:rPr>
          <w:rFonts w:hint="eastAsia" w:ascii="仿宋_GB2312" w:hAnsi="宋体" w:eastAsia="仿宋_GB2312"/>
          <w:b w:val="0"/>
          <w:kern w:val="2"/>
          <w:sz w:val="24"/>
          <w:szCs w:val="22"/>
          <w:lang w:val="en-US"/>
        </w:rPr>
        <w:t xml:space="preserve">     八、中标人在实施项目检测之前，须与招标人确定检测具体位置和检测时间。未经招标人确定的检测位置和检测时间，招标人可视其检测结果无效。</w:t>
      </w:r>
    </w:p>
    <w:p>
      <w:pPr>
        <w:ind w:firstLine="638" w:firstLineChars="266"/>
        <w:rPr>
          <w:rFonts w:ascii="仿宋_GB2312" w:hAnsi="宋体" w:eastAsia="仿宋_GB2312"/>
          <w:sz w:val="24"/>
          <w:szCs w:val="22"/>
        </w:rPr>
      </w:pPr>
      <w:r>
        <w:rPr>
          <w:rFonts w:hint="eastAsia" w:ascii="仿宋_GB2312" w:hAnsi="宋体" w:eastAsia="仿宋_GB2312"/>
          <w:sz w:val="24"/>
          <w:szCs w:val="22"/>
        </w:rPr>
        <w:t>九、服务周期：1年。</w:t>
      </w:r>
    </w:p>
    <w:p>
      <w:pPr>
        <w:pStyle w:val="2"/>
      </w:pPr>
    </w:p>
    <w:p>
      <w:pPr>
        <w:pStyle w:val="8"/>
        <w:spacing w:line="360" w:lineRule="auto"/>
        <w:rPr>
          <w:rStyle w:val="13"/>
          <w:rFonts w:ascii="仿宋_GB2312" w:eastAsia="仿宋_GB2312"/>
          <w:b/>
          <w:spacing w:val="0"/>
          <w:sz w:val="44"/>
          <w:lang w:val="en-GB"/>
        </w:rPr>
      </w:pPr>
      <w:r>
        <w:rPr>
          <w:rFonts w:ascii="仿宋_GB2312" w:hAnsi="宋体" w:eastAsia="仿宋_GB2312"/>
          <w:bCs/>
          <w:sz w:val="28"/>
          <w:szCs w:val="28"/>
        </w:rPr>
        <w:br w:type="page"/>
      </w:r>
      <w:bookmarkStart w:id="41" w:name="_Toc509229875"/>
      <w:bookmarkStart w:id="42" w:name="_Toc473012596"/>
      <w:bookmarkStart w:id="43" w:name="_Toc509228412"/>
      <w:r>
        <w:rPr>
          <w:rStyle w:val="13"/>
          <w:rFonts w:hint="eastAsia" w:ascii="仿宋_GB2312" w:eastAsia="仿宋_GB2312"/>
          <w:b/>
          <w:spacing w:val="0"/>
          <w:sz w:val="44"/>
          <w:lang w:val="en-GB"/>
        </w:rPr>
        <w:t>第四部分  合同</w:t>
      </w:r>
      <w:bookmarkEnd w:id="41"/>
      <w:bookmarkEnd w:id="42"/>
      <w:bookmarkEnd w:id="43"/>
      <w:r>
        <w:rPr>
          <w:rStyle w:val="13"/>
          <w:rFonts w:hint="eastAsia" w:ascii="仿宋_GB2312" w:eastAsia="仿宋_GB2312"/>
          <w:b/>
          <w:spacing w:val="0"/>
          <w:sz w:val="44"/>
          <w:lang w:val="en-GB"/>
        </w:rPr>
        <w:t>基本条款</w:t>
      </w:r>
    </w:p>
    <w:p>
      <w:pPr>
        <w:snapToGrid w:val="0"/>
        <w:spacing w:line="360" w:lineRule="auto"/>
        <w:ind w:firstLine="480" w:firstLineChars="200"/>
        <w:rPr>
          <w:rFonts w:ascii="仿宋_GB2312" w:eastAsia="仿宋_GB2312"/>
          <w:sz w:val="24"/>
        </w:rPr>
      </w:pPr>
      <w:r>
        <w:rPr>
          <w:rFonts w:hint="eastAsia" w:ascii="仿宋_GB2312" w:eastAsia="仿宋_GB2312"/>
          <w:sz w:val="24"/>
        </w:rPr>
        <w:t>根据《中华人民共和国民法典》及其他相关国家法律法规，</w:t>
      </w:r>
      <w:r>
        <w:rPr>
          <w:rFonts w:hint="eastAsia" w:ascii="仿宋_GB2312" w:eastAsia="仿宋_GB2312"/>
          <w:b w:val="0"/>
          <w:bCs/>
          <w:color w:val="auto"/>
          <w:sz w:val="24"/>
        </w:rPr>
        <w:t>甲乙双方经招标、投标并协商一致，就甲方委托乙方完成年度委外检测服务工作事宜达成如下协议</w:t>
      </w:r>
      <w:r>
        <w:rPr>
          <w:rFonts w:hint="eastAsia" w:ascii="仿宋_GB2312" w:eastAsia="仿宋_GB2312"/>
          <w:sz w:val="24"/>
        </w:rPr>
        <w:t>：</w:t>
      </w:r>
    </w:p>
    <w:p>
      <w:pPr>
        <w:snapToGrid w:val="0"/>
        <w:spacing w:line="360" w:lineRule="auto"/>
        <w:rPr>
          <w:rFonts w:ascii="仿宋_GB2312" w:eastAsia="仿宋_GB2312"/>
          <w:b/>
          <w:sz w:val="24"/>
        </w:rPr>
      </w:pPr>
      <w:r>
        <w:rPr>
          <w:rFonts w:hint="eastAsia" w:ascii="仿宋_GB2312" w:eastAsia="仿宋_GB2312"/>
          <w:b/>
          <w:sz w:val="24"/>
        </w:rPr>
        <w:t xml:space="preserve">    一、项目内容</w:t>
      </w:r>
    </w:p>
    <w:p>
      <w:pPr>
        <w:pStyle w:val="2"/>
        <w:ind w:firstLine="480" w:firstLineChars="200"/>
        <w:rPr>
          <w:rFonts w:ascii="仿宋" w:hAnsi="仿宋" w:eastAsia="仿宋"/>
          <w:b w:val="0"/>
          <w:bCs w:val="0"/>
          <w:color w:val="auto"/>
        </w:rPr>
      </w:pPr>
      <w:r>
        <w:rPr>
          <w:rFonts w:hint="eastAsia" w:ascii="仿宋" w:hAnsi="仿宋" w:eastAsia="仿宋"/>
          <w:b w:val="0"/>
          <w:bCs w:val="0"/>
          <w:color w:val="auto"/>
        </w:rPr>
        <w:t>1、检测内容及要求：详见招标文件第三部分《招标内容及项目要求》。</w:t>
      </w:r>
    </w:p>
    <w:p>
      <w:pPr>
        <w:rPr>
          <w:rFonts w:ascii="仿宋" w:hAnsi="仿宋" w:eastAsia="仿宋"/>
          <w:b/>
          <w:color w:val="FF0000"/>
          <w:sz w:val="24"/>
          <w:szCs w:val="24"/>
        </w:rPr>
      </w:pPr>
    </w:p>
    <w:p>
      <w:pPr>
        <w:snapToGrid w:val="0"/>
        <w:spacing w:line="360" w:lineRule="auto"/>
        <w:ind w:firstLine="465"/>
        <w:rPr>
          <w:rFonts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、服务期限：2021年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日至2022年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p>
      <w:pPr>
        <w:snapToGrid w:val="0"/>
        <w:spacing w:line="360" w:lineRule="auto"/>
        <w:ind w:firstLine="465"/>
        <w:rPr>
          <w:rFonts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、合同价款</w:t>
      </w:r>
    </w:p>
    <w:p>
      <w:pPr>
        <w:snapToGrid w:val="0"/>
        <w:spacing w:line="360" w:lineRule="auto"/>
        <w:ind w:firstLine="228" w:firstLineChars="100"/>
        <w:rPr>
          <w:rFonts w:ascii="仿宋_GB2312" w:eastAsia="仿宋_GB2312"/>
          <w:b w:val="0"/>
          <w:bCs/>
          <w:color w:val="auto"/>
          <w:sz w:val="24"/>
        </w:rPr>
      </w:pPr>
      <w:r>
        <w:rPr>
          <w:rFonts w:hint="eastAsia" w:ascii="仿宋_GB2312" w:eastAsia="仿宋_GB2312"/>
          <w:spacing w:val="-6"/>
          <w:sz w:val="24"/>
        </w:rPr>
        <w:t>本合同检测费总额为￥</w:t>
      </w:r>
      <w:r>
        <w:rPr>
          <w:rFonts w:hint="eastAsia" w:ascii="仿宋_GB2312" w:eastAsia="仿宋_GB2312"/>
          <w:spacing w:val="-6"/>
          <w:sz w:val="24"/>
          <w:u w:val="single"/>
        </w:rPr>
        <w:t xml:space="preserve">     </w:t>
      </w:r>
      <w:r>
        <w:rPr>
          <w:rFonts w:hint="eastAsia" w:ascii="仿宋_GB2312" w:eastAsia="仿宋_GB2312"/>
          <w:spacing w:val="-6"/>
          <w:sz w:val="24"/>
        </w:rPr>
        <w:t>元，人民币（大写）</w:t>
      </w:r>
      <w:r>
        <w:rPr>
          <w:rFonts w:hint="eastAsia" w:ascii="仿宋_GB2312" w:eastAsia="仿宋_GB2312"/>
          <w:spacing w:val="-6"/>
          <w:sz w:val="24"/>
          <w:u w:val="single"/>
        </w:rPr>
        <w:t xml:space="preserve">     </w:t>
      </w:r>
      <w:r>
        <w:rPr>
          <w:rFonts w:hint="eastAsia" w:ascii="仿宋_GB2312" w:eastAsia="仿宋_GB2312"/>
          <w:spacing w:val="-6"/>
          <w:sz w:val="24"/>
        </w:rPr>
        <w:t>元整。在合同服务期限期间，乙方按照甲方实际需求进行服务，费用按照</w:t>
      </w:r>
      <w:r>
        <w:rPr>
          <w:rFonts w:hint="eastAsia" w:ascii="仿宋_GB2312" w:eastAsia="仿宋_GB2312"/>
          <w:bCs/>
          <w:spacing w:val="-6"/>
          <w:sz w:val="24"/>
        </w:rPr>
        <w:t>单价清单（详见附件）及</w:t>
      </w:r>
      <w:r>
        <w:rPr>
          <w:rFonts w:hint="eastAsia" w:ascii="仿宋_GB2312" w:eastAsia="仿宋_GB2312"/>
          <w:spacing w:val="-6"/>
          <w:sz w:val="24"/>
        </w:rPr>
        <w:t>实际服务次数进行付款。</w:t>
      </w:r>
      <w:r>
        <w:rPr>
          <w:rFonts w:hint="eastAsia" w:ascii="仿宋_GB2312" w:eastAsia="仿宋_GB2312"/>
          <w:b w:val="0"/>
          <w:bCs/>
          <w:color w:val="auto"/>
          <w:sz w:val="24"/>
        </w:rPr>
        <w:t>检测费每三个月结算一次，甲方按照收到正式报告的检测项目数量及乙方开具的增值税专用发票后，30日内向乙方支付服务费用。</w:t>
      </w:r>
    </w:p>
    <w:p>
      <w:pPr>
        <w:snapToGrid w:val="0"/>
        <w:spacing w:line="360" w:lineRule="auto"/>
        <w:ind w:firstLine="465"/>
        <w:rPr>
          <w:rFonts w:ascii="仿宋_GB2312" w:eastAsia="仿宋_GB2312"/>
          <w:spacing w:val="-6"/>
          <w:sz w:val="24"/>
        </w:rPr>
      </w:pPr>
    </w:p>
    <w:p>
      <w:pPr>
        <w:snapToGrid w:val="0"/>
        <w:spacing w:line="360" w:lineRule="auto"/>
        <w:ind w:firstLine="465"/>
        <w:rPr>
          <w:rFonts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、合同签订的同时，乙方应向甲方交纳</w:t>
      </w:r>
      <w:r>
        <w:rPr>
          <w:rFonts w:hint="eastAsia" w:ascii="仿宋_GB2312" w:eastAsia="仿宋_GB2312"/>
          <w:sz w:val="24"/>
          <w:u w:val="single"/>
        </w:rPr>
        <w:t xml:space="preserve">     </w:t>
      </w:r>
      <w:r>
        <w:rPr>
          <w:rFonts w:hint="eastAsia" w:ascii="仿宋_GB2312" w:eastAsia="仿宋_GB2312"/>
          <w:sz w:val="24"/>
        </w:rPr>
        <w:t>元作为履约保证金（合同总价的5%）。</w:t>
      </w:r>
    </w:p>
    <w:p>
      <w:pPr>
        <w:snapToGrid w:val="0"/>
        <w:spacing w:line="360" w:lineRule="auto"/>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5</w:t>
      </w:r>
      <w:r>
        <w:rPr>
          <w:rFonts w:hint="eastAsia" w:ascii="仿宋_GB2312" w:eastAsia="仿宋_GB2312"/>
          <w:sz w:val="24"/>
        </w:rPr>
        <w:t>、报告要求</w:t>
      </w:r>
    </w:p>
    <w:p>
      <w:pPr>
        <w:snapToGrid w:val="0"/>
        <w:spacing w:line="360" w:lineRule="auto"/>
        <w:ind w:firstLine="456" w:firstLineChars="200"/>
        <w:rPr>
          <w:rFonts w:ascii="仿宋_GB2312" w:eastAsia="仿宋_GB2312"/>
          <w:spacing w:val="-6"/>
          <w:sz w:val="24"/>
        </w:rPr>
      </w:pPr>
      <w:r>
        <w:rPr>
          <w:rFonts w:hint="eastAsia" w:ascii="仿宋_GB2312" w:eastAsia="仿宋_GB2312"/>
          <w:spacing w:val="-6"/>
          <w:sz w:val="24"/>
        </w:rPr>
        <w:t>采样由</w:t>
      </w:r>
      <w:r>
        <w:rPr>
          <w:rFonts w:hint="eastAsia" w:ascii="仿宋_GB2312" w:eastAsia="仿宋_GB2312"/>
          <w:spacing w:val="-6"/>
          <w:sz w:val="24"/>
          <w:u w:val="single"/>
        </w:rPr>
        <w:t xml:space="preserve"> 乙 </w:t>
      </w:r>
      <w:r>
        <w:rPr>
          <w:rFonts w:hint="eastAsia" w:ascii="仿宋_GB2312" w:eastAsia="仿宋_GB2312"/>
          <w:spacing w:val="-6"/>
          <w:sz w:val="24"/>
        </w:rPr>
        <w:t>方负责。在满足正常监测工作条件的情况下，每</w:t>
      </w:r>
      <w:r>
        <w:rPr>
          <w:rFonts w:hint="eastAsia" w:ascii="仿宋_GB2312" w:eastAsia="仿宋_GB2312"/>
          <w:b w:val="0"/>
          <w:bCs/>
          <w:color w:val="auto"/>
          <w:spacing w:val="-6"/>
          <w:sz w:val="24"/>
        </w:rPr>
        <w:t>次</w:t>
      </w:r>
      <w:r>
        <w:rPr>
          <w:rFonts w:hint="eastAsia" w:ascii="仿宋_GB2312" w:eastAsia="仿宋_GB2312"/>
          <w:spacing w:val="-6"/>
          <w:sz w:val="24"/>
        </w:rPr>
        <w:t>采样结束后，乙方出具相应的独立检测报告（加盖CMA章），包括一式两份的纸质检测报告及一份电子报告。电子报告需在</w:t>
      </w:r>
      <w:r>
        <w:rPr>
          <w:rFonts w:hint="eastAsia" w:ascii="仿宋_GB2312" w:eastAsia="仿宋_GB2312"/>
          <w:b w:val="0"/>
          <w:bCs/>
          <w:color w:val="auto"/>
          <w:spacing w:val="-6"/>
          <w:sz w:val="24"/>
        </w:rPr>
        <w:t>采样结束后</w:t>
      </w:r>
      <w:r>
        <w:rPr>
          <w:rFonts w:hint="eastAsia" w:ascii="仿宋_GB2312" w:eastAsia="仿宋_GB2312"/>
          <w:spacing w:val="-6"/>
          <w:sz w:val="24"/>
        </w:rPr>
        <w:t>当月月底前出具，书面报告（一式两份）需在次月5号前送达。</w:t>
      </w:r>
    </w:p>
    <w:p>
      <w:pPr>
        <w:snapToGrid w:val="0"/>
        <w:spacing w:line="360" w:lineRule="auto"/>
        <w:rPr>
          <w:rFonts w:ascii="仿宋_GB2312" w:eastAsia="仿宋_GB2312"/>
          <w:b/>
          <w:sz w:val="24"/>
        </w:rPr>
      </w:pPr>
      <w:r>
        <w:rPr>
          <w:rFonts w:hint="eastAsia" w:ascii="仿宋_GB2312" w:eastAsia="仿宋_GB2312"/>
          <w:sz w:val="24"/>
        </w:rPr>
        <w:t xml:space="preserve">   </w:t>
      </w:r>
      <w:r>
        <w:rPr>
          <w:rFonts w:hint="eastAsia" w:ascii="仿宋_GB2312" w:eastAsia="仿宋_GB2312"/>
          <w:b/>
          <w:sz w:val="24"/>
        </w:rPr>
        <w:t xml:space="preserve"> 二、双方的权利和义务</w:t>
      </w:r>
    </w:p>
    <w:p>
      <w:pPr>
        <w:snapToGrid w:val="0"/>
        <w:spacing w:line="360" w:lineRule="auto"/>
        <w:rPr>
          <w:rFonts w:ascii="仿宋_GB2312" w:eastAsia="仿宋_GB2312"/>
          <w:sz w:val="24"/>
        </w:rPr>
      </w:pPr>
      <w:r>
        <w:rPr>
          <w:rFonts w:hint="eastAsia" w:ascii="仿宋_GB2312" w:eastAsia="仿宋_GB2312"/>
          <w:sz w:val="24"/>
        </w:rPr>
        <w:t xml:space="preserve">    1、乙方必须对一切检测数据和检验结果保密，除法律规定外，未经甲方书面同意不得泄露给任何第三方。</w:t>
      </w:r>
    </w:p>
    <w:p>
      <w:pPr>
        <w:snapToGrid w:val="0"/>
        <w:spacing w:line="360" w:lineRule="auto"/>
        <w:ind w:firstLine="480"/>
        <w:rPr>
          <w:rFonts w:ascii="仿宋_GB2312" w:eastAsia="仿宋_GB2312"/>
          <w:sz w:val="24"/>
        </w:rPr>
      </w:pPr>
      <w:r>
        <w:rPr>
          <w:rFonts w:hint="eastAsia" w:ascii="仿宋_GB2312" w:eastAsia="仿宋_GB2312"/>
          <w:sz w:val="24"/>
        </w:rPr>
        <w:t>2、 乙方应按照国家和地方相关检验方法和标准，按甲方的要求完成分析测试任务并且</w:t>
      </w:r>
      <w:r>
        <w:rPr>
          <w:rFonts w:hint="eastAsia" w:ascii="仿宋_GB2312" w:eastAsia="仿宋_GB2312"/>
          <w:b w:val="0"/>
          <w:bCs/>
          <w:color w:val="auto"/>
          <w:sz w:val="24"/>
        </w:rPr>
        <w:t>向甲方</w:t>
      </w:r>
      <w:r>
        <w:rPr>
          <w:rFonts w:hint="eastAsia" w:ascii="仿宋_GB2312" w:eastAsia="仿宋_GB2312"/>
          <w:sz w:val="24"/>
        </w:rPr>
        <w:t>出具检测报告。</w:t>
      </w:r>
    </w:p>
    <w:p>
      <w:pPr>
        <w:snapToGrid w:val="0"/>
        <w:spacing w:line="360" w:lineRule="auto"/>
        <w:ind w:firstLine="480"/>
        <w:rPr>
          <w:rFonts w:ascii="仿宋_GB2312" w:eastAsia="仿宋_GB2312"/>
          <w:sz w:val="24"/>
        </w:rPr>
      </w:pPr>
      <w:r>
        <w:rPr>
          <w:rFonts w:hint="eastAsia" w:ascii="仿宋_GB2312" w:eastAsia="仿宋_GB2312"/>
          <w:b w:val="0"/>
          <w:bCs w:val="0"/>
          <w:color w:val="auto"/>
          <w:sz w:val="24"/>
        </w:rPr>
        <w:t>3、每次采样前，乙方应提前三天向甲方报备具体的采样人员名单；每次采样时，</w:t>
      </w:r>
      <w:r>
        <w:rPr>
          <w:rFonts w:hint="eastAsia" w:ascii="仿宋_GB2312" w:eastAsia="仿宋_GB2312"/>
          <w:sz w:val="24"/>
        </w:rPr>
        <w:t>乙方采样人员均应提前熟悉甲方采样点位。</w:t>
      </w:r>
    </w:p>
    <w:p>
      <w:pPr>
        <w:snapToGrid w:val="0"/>
        <w:spacing w:line="360" w:lineRule="auto"/>
        <w:ind w:firstLine="480" w:firstLineChars="200"/>
        <w:rPr>
          <w:rFonts w:ascii="仿宋_GB2312" w:eastAsia="仿宋_GB2312"/>
          <w:sz w:val="24"/>
        </w:rPr>
      </w:pPr>
      <w:r>
        <w:rPr>
          <w:rFonts w:hint="eastAsia" w:ascii="仿宋_GB2312" w:eastAsia="仿宋_GB2312"/>
          <w:sz w:val="24"/>
        </w:rPr>
        <w:t>4、服务期间，甲方为乙方提供如下条件：</w:t>
      </w:r>
    </w:p>
    <w:p>
      <w:pPr>
        <w:snapToGrid w:val="0"/>
        <w:spacing w:line="360" w:lineRule="auto"/>
        <w:rPr>
          <w:rFonts w:ascii="仿宋_GB2312" w:eastAsia="仿宋_GB2312"/>
          <w:sz w:val="24"/>
        </w:rPr>
      </w:pPr>
      <w:r>
        <w:rPr>
          <w:rFonts w:hint="eastAsia" w:ascii="仿宋_GB2312" w:eastAsia="仿宋_GB2312"/>
          <w:sz w:val="24"/>
        </w:rPr>
        <w:t xml:space="preserve">    （1）提供监测对象及服务项目相关资料、信息等；</w:t>
      </w:r>
    </w:p>
    <w:p>
      <w:pPr>
        <w:snapToGrid w:val="0"/>
        <w:spacing w:line="360" w:lineRule="auto"/>
        <w:ind w:firstLine="465"/>
        <w:rPr>
          <w:rFonts w:ascii="仿宋_GB2312" w:eastAsia="仿宋_GB2312"/>
          <w:sz w:val="24"/>
        </w:rPr>
      </w:pPr>
      <w:r>
        <w:rPr>
          <w:rFonts w:hint="eastAsia" w:ascii="仿宋_GB2312" w:eastAsia="仿宋_GB2312"/>
          <w:sz w:val="24"/>
        </w:rPr>
        <w:t>（2）提供监测服务所需工况、场地、设施、安全条件和其他工作条件等。</w:t>
      </w:r>
    </w:p>
    <w:p>
      <w:pPr>
        <w:snapToGrid w:val="0"/>
        <w:spacing w:line="360" w:lineRule="auto"/>
        <w:rPr>
          <w:rFonts w:ascii="仿宋_GB2312" w:eastAsia="仿宋_GB2312"/>
          <w:sz w:val="24"/>
        </w:rPr>
      </w:pPr>
      <w:r>
        <w:rPr>
          <w:rFonts w:hint="eastAsia" w:ascii="仿宋_GB2312" w:eastAsia="仿宋_GB2312"/>
          <w:sz w:val="24"/>
        </w:rPr>
        <w:t xml:space="preserve">    5、甲方应按照乙方要求提交与检验有关方面的材料及必要的检测依据或文本，并确保在检测期间工况正常符合国家相关要求。同时，对于加测和复检项目，甲方应书面告知给乙方。</w:t>
      </w:r>
    </w:p>
    <w:p>
      <w:pPr>
        <w:snapToGrid w:val="0"/>
        <w:spacing w:line="360" w:lineRule="auto"/>
        <w:rPr>
          <w:rFonts w:ascii="仿宋_GB2312" w:eastAsia="仿宋_GB2312"/>
          <w:sz w:val="24"/>
        </w:rPr>
      </w:pPr>
      <w:r>
        <w:rPr>
          <w:rFonts w:hint="eastAsia" w:ascii="仿宋_GB2312" w:eastAsia="仿宋_GB2312"/>
          <w:sz w:val="24"/>
        </w:rPr>
        <w:t xml:space="preserve">    6、甲方对检验结果若有异议，可于收到《检测报告》之日起十五日内向乙方提出复检。复检结果如甲方的异议成立的，复检费用由乙方承担；甲方的异议不成立的，复检费用由甲方承担。</w:t>
      </w:r>
    </w:p>
    <w:p>
      <w:pPr>
        <w:snapToGrid w:val="0"/>
        <w:spacing w:line="360" w:lineRule="auto"/>
        <w:ind w:firstLine="480"/>
        <w:rPr>
          <w:rFonts w:ascii="仿宋_GB2312" w:eastAsia="仿宋_GB2312"/>
          <w:b/>
          <w:sz w:val="24"/>
        </w:rPr>
      </w:pPr>
      <w:r>
        <w:rPr>
          <w:rFonts w:hint="eastAsia" w:ascii="仿宋_GB2312" w:eastAsia="仿宋_GB2312"/>
          <w:sz w:val="24"/>
        </w:rPr>
        <w:t>7、甲方因特殊情况，需应急检测服务，乙方须立即响应，并在4小时内赶到现场开展采样检测工作。</w:t>
      </w:r>
    </w:p>
    <w:p>
      <w:pPr>
        <w:snapToGrid w:val="0"/>
        <w:spacing w:line="360" w:lineRule="auto"/>
        <w:rPr>
          <w:rFonts w:ascii="仿宋_GB2312" w:eastAsia="仿宋_GB2312"/>
          <w:b/>
          <w:sz w:val="24"/>
        </w:rPr>
      </w:pPr>
      <w:r>
        <w:rPr>
          <w:rFonts w:hint="eastAsia" w:ascii="仿宋_GB2312" w:eastAsia="仿宋_GB2312"/>
          <w:sz w:val="24"/>
        </w:rPr>
        <w:t xml:space="preserve">   </w:t>
      </w:r>
      <w:r>
        <w:rPr>
          <w:rFonts w:hint="eastAsia" w:ascii="仿宋_GB2312" w:eastAsia="仿宋_GB2312"/>
          <w:b/>
          <w:sz w:val="24"/>
        </w:rPr>
        <w:t xml:space="preserve"> 三、违约责任</w:t>
      </w:r>
    </w:p>
    <w:p>
      <w:pPr>
        <w:snapToGrid w:val="0"/>
        <w:spacing w:line="360" w:lineRule="auto"/>
        <w:rPr>
          <w:rFonts w:ascii="仿宋_GB2312" w:eastAsia="仿宋_GB2312"/>
          <w:sz w:val="24"/>
        </w:rPr>
      </w:pPr>
      <w:r>
        <w:rPr>
          <w:rFonts w:hint="eastAsia" w:ascii="仿宋_GB2312" w:eastAsia="仿宋_GB2312"/>
          <w:sz w:val="24"/>
        </w:rPr>
        <w:t xml:space="preserve">    1、由于乙方过错导致某样品的某检测项目的检测结果超过正常误差范围</w:t>
      </w:r>
      <w:r>
        <w:rPr>
          <w:rFonts w:hint="eastAsia" w:ascii="仿宋_GB2312" w:eastAsia="仿宋_GB2312"/>
          <w:b w:val="0"/>
          <w:bCs/>
          <w:color w:val="auto"/>
          <w:sz w:val="24"/>
        </w:rPr>
        <w:t>的</w:t>
      </w:r>
      <w:r>
        <w:rPr>
          <w:rFonts w:hint="eastAsia" w:ascii="仿宋_GB2312" w:eastAsia="仿宋_GB2312"/>
          <w:sz w:val="24"/>
        </w:rPr>
        <w:t>，乙方</w:t>
      </w:r>
      <w:r>
        <w:rPr>
          <w:rFonts w:hint="eastAsia" w:ascii="仿宋_GB2312" w:eastAsia="仿宋_GB2312"/>
          <w:b w:val="0"/>
          <w:bCs/>
          <w:color w:val="auto"/>
          <w:sz w:val="24"/>
        </w:rPr>
        <w:t>应按</w:t>
      </w:r>
      <w:r>
        <w:rPr>
          <w:rFonts w:hint="eastAsia" w:ascii="仿宋_GB2312" w:eastAsia="仿宋_GB2312"/>
          <w:sz w:val="24"/>
        </w:rPr>
        <w:t>此样品此检测项目的二倍检测费用</w:t>
      </w:r>
      <w:r>
        <w:rPr>
          <w:rFonts w:hint="eastAsia" w:ascii="仿宋_GB2312" w:eastAsia="仿宋_GB2312"/>
          <w:b w:val="0"/>
          <w:bCs/>
          <w:color w:val="auto"/>
          <w:sz w:val="24"/>
        </w:rPr>
        <w:t>的标准</w:t>
      </w:r>
      <w:r>
        <w:rPr>
          <w:rFonts w:hint="eastAsia" w:ascii="仿宋_GB2312" w:eastAsia="仿宋_GB2312"/>
          <w:sz w:val="24"/>
        </w:rPr>
        <w:t>赔偿给甲方。</w:t>
      </w:r>
    </w:p>
    <w:p>
      <w:pPr>
        <w:snapToGrid w:val="0"/>
        <w:spacing w:line="360" w:lineRule="auto"/>
        <w:rPr>
          <w:rFonts w:ascii="仿宋_GB2312" w:eastAsia="仿宋_GB2312"/>
          <w:sz w:val="24"/>
        </w:rPr>
      </w:pPr>
      <w:r>
        <w:rPr>
          <w:rFonts w:hint="eastAsia" w:ascii="仿宋_GB2312" w:eastAsia="仿宋_GB2312"/>
          <w:sz w:val="24"/>
        </w:rPr>
        <w:t xml:space="preserve">    2、在任何情况下，任何一方均不承担附带的、特殊的、间接的、结果性的或惩罚性的赔偿，不论是合同关系或侵权关系，包括但不限于利润损失或收入减少。</w:t>
      </w:r>
    </w:p>
    <w:p>
      <w:pPr>
        <w:snapToGrid w:val="0"/>
        <w:spacing w:line="360" w:lineRule="auto"/>
        <w:rPr>
          <w:rFonts w:ascii="仿宋_GB2312" w:eastAsia="仿宋_GB2312"/>
          <w:sz w:val="24"/>
        </w:rPr>
      </w:pPr>
      <w:r>
        <w:rPr>
          <w:rFonts w:hint="eastAsia" w:ascii="仿宋_GB2312" w:eastAsia="仿宋_GB2312"/>
          <w:sz w:val="24"/>
        </w:rPr>
        <w:t xml:space="preserve">    3、乙方未按合同约定的期限向甲方提交检测报告（包括纸质报告及电子报告）的，每逾期一天，应按</w:t>
      </w:r>
      <w:r>
        <w:rPr>
          <w:rFonts w:hint="eastAsia" w:ascii="仿宋_GB2312" w:eastAsia="仿宋_GB2312"/>
          <w:b w:val="0"/>
          <w:bCs/>
          <w:color w:val="auto"/>
          <w:sz w:val="24"/>
        </w:rPr>
        <w:t>该检测项目合同总价的0.2%向甲方</w:t>
      </w:r>
      <w:r>
        <w:rPr>
          <w:rFonts w:hint="eastAsia" w:ascii="仿宋_GB2312" w:eastAsia="仿宋_GB2312"/>
          <w:sz w:val="24"/>
        </w:rPr>
        <w:t>承担违约金。甲方未按合同约定的期限向乙方支付检测费用的，每逾期一天，应按应付金额的0.2%承担违约金。</w:t>
      </w:r>
    </w:p>
    <w:p>
      <w:pPr>
        <w:snapToGrid w:val="0"/>
        <w:spacing w:line="360" w:lineRule="auto"/>
        <w:ind w:firstLine="480"/>
        <w:rPr>
          <w:rFonts w:ascii="仿宋_GB2312" w:eastAsia="仿宋_GB2312"/>
          <w:sz w:val="24"/>
        </w:rPr>
      </w:pPr>
      <w:r>
        <w:rPr>
          <w:rFonts w:hint="eastAsia" w:ascii="仿宋_GB2312" w:eastAsia="仿宋_GB2312"/>
          <w:sz w:val="24"/>
        </w:rPr>
        <w:t>4、乙方如不能及时响应甲方临时应急检测服务，视作违约，每次甲方有权扣除1000元违约金。</w:t>
      </w:r>
    </w:p>
    <w:p>
      <w:pPr>
        <w:snapToGrid w:val="0"/>
        <w:spacing w:line="360" w:lineRule="auto"/>
        <w:ind w:firstLine="480"/>
        <w:rPr>
          <w:rFonts w:ascii="仿宋_GB2312" w:eastAsia="仿宋_GB2312"/>
          <w:sz w:val="24"/>
        </w:rPr>
      </w:pPr>
      <w:r>
        <w:rPr>
          <w:rFonts w:hint="eastAsia" w:ascii="仿宋_GB2312" w:eastAsia="仿宋_GB2312"/>
          <w:sz w:val="24"/>
        </w:rPr>
        <w:t>5、乙方无正当理由拒不履行合同义务的，应按合同价款的20%承担违约金，甲方并有权解除合同。</w:t>
      </w:r>
    </w:p>
    <w:p>
      <w:pPr>
        <w:spacing w:line="360" w:lineRule="auto"/>
        <w:ind w:firstLine="523" w:firstLineChars="217"/>
        <w:rPr>
          <w:rFonts w:ascii="仿宋_GB2312" w:hAnsi="宋体" w:eastAsia="仿宋_GB2312"/>
          <w:b/>
          <w:sz w:val="24"/>
        </w:rPr>
      </w:pPr>
      <w:r>
        <w:rPr>
          <w:rFonts w:hint="eastAsia" w:ascii="仿宋_GB2312" w:hAnsi="宋体" w:eastAsia="仿宋_GB2312"/>
          <w:b/>
          <w:sz w:val="24"/>
        </w:rPr>
        <w:t>四、争议的解决</w:t>
      </w:r>
    </w:p>
    <w:p>
      <w:pPr>
        <w:spacing w:line="360" w:lineRule="auto"/>
        <w:ind w:firstLine="520" w:firstLineChars="217"/>
        <w:rPr>
          <w:rFonts w:ascii="仿宋_GB2312" w:hAnsi="宋体" w:eastAsia="仿宋_GB2312"/>
          <w:sz w:val="24"/>
        </w:rPr>
      </w:pPr>
      <w:r>
        <w:rPr>
          <w:rFonts w:hint="eastAsia" w:ascii="仿宋_GB2312" w:hAnsi="宋体" w:eastAsia="仿宋_GB2312"/>
          <w:sz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rPr>
      </w:pPr>
      <w:r>
        <w:rPr>
          <w:rFonts w:hint="eastAsia" w:ascii="仿宋_GB2312" w:hAnsi="宋体" w:eastAsia="仿宋_GB2312"/>
          <w:sz w:val="24"/>
        </w:rPr>
        <w:t>2、在履行本合同过程中如发生纠纷,甲、乙双方应及时协商解决，如协商不成，双方均有权向甲方住所地法院诉讼解决。</w:t>
      </w:r>
    </w:p>
    <w:p>
      <w:pPr>
        <w:spacing w:line="360" w:lineRule="auto"/>
        <w:ind w:firstLine="523" w:firstLineChars="217"/>
        <w:rPr>
          <w:rFonts w:ascii="仿宋_GB2312" w:hAnsi="宋体" w:eastAsia="仿宋_GB2312"/>
          <w:b/>
          <w:sz w:val="24"/>
        </w:rPr>
      </w:pPr>
      <w:r>
        <w:rPr>
          <w:rFonts w:hint="eastAsia" w:ascii="仿宋_GB2312" w:hAnsi="宋体" w:eastAsia="仿宋_GB2312"/>
          <w:b/>
          <w:sz w:val="24"/>
        </w:rPr>
        <w:t>五、合同的生效。</w:t>
      </w:r>
    </w:p>
    <w:p>
      <w:pPr>
        <w:spacing w:line="360" w:lineRule="auto"/>
        <w:ind w:firstLine="520" w:firstLineChars="217"/>
        <w:rPr>
          <w:rFonts w:ascii="仿宋_GB2312" w:hAnsi="宋体" w:eastAsia="仿宋_GB2312"/>
          <w:sz w:val="24"/>
        </w:rPr>
      </w:pPr>
      <w:r>
        <w:rPr>
          <w:rFonts w:hint="eastAsia" w:ascii="仿宋_GB2312" w:hAnsi="宋体" w:eastAsia="仿宋_GB2312"/>
          <w:sz w:val="24"/>
        </w:rPr>
        <w:t>1、本合同经甲、乙双方法定代表人或</w:t>
      </w:r>
      <w:r>
        <w:rPr>
          <w:rFonts w:ascii="仿宋_GB2312" w:eastAsia="仿宋_GB2312"/>
          <w:sz w:val="24"/>
        </w:rPr>
        <w:t>受</w:t>
      </w:r>
      <w:r>
        <w:rPr>
          <w:rFonts w:hint="eastAsia" w:ascii="仿宋_GB2312" w:hAnsi="宋体" w:eastAsia="仿宋_GB2312"/>
          <w:sz w:val="24"/>
        </w:rPr>
        <w:t>委托人签字盖章后生效。招标文件、投标文件及招标过程中有关澄清文件、承诺书等，以及合同附件均为本合同的组成部分，与本合同具有同等效力。</w:t>
      </w:r>
    </w:p>
    <w:p>
      <w:pPr>
        <w:ind w:firstLine="480" w:firstLineChars="200"/>
      </w:pPr>
      <w:r>
        <w:rPr>
          <w:rFonts w:hint="eastAsia" w:ascii="仿宋_GB2312" w:hAnsi="宋体" w:eastAsia="仿宋_GB2312"/>
          <w:sz w:val="24"/>
        </w:rPr>
        <w:t>2、本合同一式陆份，甲方、乙方各执叁份。</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r>
        <w:rPr>
          <w:rFonts w:hint="eastAsia" w:ascii="等线 Light" w:eastAsia="等线 Light"/>
          <w:b/>
          <w:bCs/>
          <w:caps/>
          <w:sz w:val="24"/>
          <w:szCs w:val="24"/>
        </w:rPr>
        <w:t xml:space="preserve">   </w:t>
      </w:r>
      <w:r>
        <w:rPr>
          <w:rFonts w:hint="eastAsia" w:ascii="等线 Light" w:eastAsia="等线 Light"/>
          <w:b/>
          <w:bCs/>
          <w:caps/>
          <w:color w:val="auto"/>
          <w:sz w:val="24"/>
          <w:szCs w:val="24"/>
        </w:rPr>
        <w:t xml:space="preserve"> 合同附件：（注：即单价清单，）</w:t>
      </w:r>
    </w:p>
    <w:p>
      <w:pPr>
        <w:spacing w:line="360" w:lineRule="auto"/>
        <w:ind w:firstLine="723" w:firstLineChars="200"/>
        <w:rPr>
          <w:rStyle w:val="13"/>
          <w:rFonts w:eastAsia="仿宋_GB2312"/>
          <w:spacing w:val="0"/>
          <w:sz w:val="44"/>
        </w:rPr>
      </w:pPr>
      <w:bookmarkStart w:id="44" w:name="_Toc473012597"/>
      <w:bookmarkStart w:id="45" w:name="_Toc509229876"/>
      <w:r>
        <w:rPr>
          <w:rStyle w:val="13"/>
          <w:rFonts w:eastAsia="黑体"/>
          <w:spacing w:val="0"/>
          <w:sz w:val="36"/>
        </w:rPr>
        <w:br w:type="page"/>
      </w:r>
      <w:bookmarkEnd w:id="44"/>
      <w:bookmarkEnd w:id="45"/>
    </w:p>
    <w:p>
      <w:pPr>
        <w:pStyle w:val="8"/>
        <w:spacing w:line="360" w:lineRule="auto"/>
        <w:rPr>
          <w:rStyle w:val="13"/>
          <w:rFonts w:ascii="仿宋_GB2312" w:eastAsia="仿宋_GB2312"/>
          <w:b/>
          <w:bCs w:val="0"/>
          <w:color w:val="auto"/>
          <w:sz w:val="44"/>
          <w:szCs w:val="44"/>
        </w:rPr>
      </w:pPr>
      <w:r>
        <w:rPr>
          <w:rStyle w:val="13"/>
          <w:rFonts w:hint="eastAsia" w:ascii="仿宋_GB2312" w:eastAsia="仿宋_GB2312"/>
          <w:b/>
          <w:bCs w:val="0"/>
          <w:color w:val="auto"/>
          <w:sz w:val="44"/>
          <w:szCs w:val="44"/>
        </w:rPr>
        <w:t>第五部分  投标文件格式</w:t>
      </w:r>
    </w:p>
    <w:p>
      <w:pPr>
        <w:pStyle w:val="8"/>
        <w:spacing w:line="360" w:lineRule="auto"/>
        <w:jc w:val="both"/>
        <w:rPr>
          <w:rStyle w:val="13"/>
          <w:rFonts w:ascii="仿宋_GB2312" w:eastAsia="仿宋_GB2312"/>
          <w:b/>
          <w:sz w:val="30"/>
        </w:rPr>
      </w:pPr>
    </w:p>
    <w:p>
      <w:pPr>
        <w:pStyle w:val="8"/>
        <w:spacing w:line="360" w:lineRule="auto"/>
        <w:jc w:val="both"/>
        <w:rPr>
          <w:rStyle w:val="13"/>
          <w:rFonts w:ascii="仿宋_GB2312" w:eastAsia="仿宋_GB2312"/>
          <w:b/>
          <w:sz w:val="30"/>
        </w:rPr>
      </w:pPr>
    </w:p>
    <w:p>
      <w:pPr>
        <w:pStyle w:val="8"/>
        <w:spacing w:line="360" w:lineRule="auto"/>
        <w:jc w:val="both"/>
        <w:rPr>
          <w:sz w:val="32"/>
        </w:rPr>
      </w:pPr>
      <w:r>
        <w:rPr>
          <w:rStyle w:val="13"/>
          <w:rFonts w:hint="eastAsia" w:ascii="仿宋_GB2312" w:eastAsia="仿宋_GB2312"/>
          <w:b/>
          <w:sz w:val="30"/>
        </w:rPr>
        <w:t>附件一</w:t>
      </w:r>
      <w:r>
        <w:rPr>
          <w:rFonts w:hint="eastAsia"/>
          <w:sz w:val="32"/>
        </w:rPr>
        <w:t xml:space="preserve"> </w:t>
      </w:r>
      <w:r>
        <w:rPr>
          <w:rFonts w:hint="eastAsia"/>
          <w:sz w:val="28"/>
        </w:rPr>
        <w:t xml:space="preserve">                                             </w:t>
      </w:r>
      <w:r>
        <w:rPr>
          <w:rFonts w:hint="eastAsia"/>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(项目名称)项目</w:t>
      </w:r>
    </w:p>
    <w:p>
      <w:pPr>
        <w:spacing w:line="360" w:lineRule="auto"/>
        <w:jc w:val="center"/>
        <w:rPr>
          <w:rFonts w:ascii="仿宋_GB2312" w:hAnsi="仿宋" w:eastAsia="仿宋_GB2312"/>
          <w:sz w:val="40"/>
          <w:szCs w:val="48"/>
        </w:rPr>
      </w:pPr>
      <w:r>
        <w:rPr>
          <w:rFonts w:hint="eastAsia" w:ascii="仿宋_GB2312" w:hAnsi="仿宋" w:eastAsia="仿宋_GB2312"/>
          <w:sz w:val="40"/>
          <w:szCs w:val="48"/>
        </w:rPr>
        <w:t>招标编号：</w:t>
      </w: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rPr>
        <w:t>1年  月  日</w:t>
      </w:r>
    </w:p>
    <w:p>
      <w:pPr>
        <w:spacing w:line="480" w:lineRule="auto"/>
        <w:jc w:val="left"/>
        <w:rPr>
          <w:rStyle w:val="13"/>
          <w:sz w:val="30"/>
        </w:rPr>
      </w:pP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u w:val="single"/>
        </w:rPr>
        <w:t xml:space="preserve">                      </w:t>
      </w:r>
      <w:r>
        <w:rPr>
          <w:rFonts w:hint="eastAsia" w:ascii="仿宋_GB2312" w:eastAsia="仿宋_GB2312"/>
          <w:sz w:val="24"/>
          <w:szCs w:val="24"/>
        </w:rPr>
        <w:t>(投标人全称)授权</w:t>
      </w:r>
      <w:r>
        <w:rPr>
          <w:rFonts w:hint="eastAsia" w:ascii="仿宋_GB2312" w:eastAsia="仿宋_GB2312"/>
          <w:sz w:val="24"/>
          <w:szCs w:val="24"/>
          <w:u w:val="single"/>
        </w:rPr>
        <w:t xml:space="preserve">       </w:t>
      </w:r>
      <w:r>
        <w:rPr>
          <w:rFonts w:hint="eastAsia" w:ascii="仿宋_GB2312" w:eastAsia="仿宋_GB2312"/>
          <w:sz w:val="24"/>
          <w:szCs w:val="24"/>
        </w:rPr>
        <w:t>（全名、职务、身份证号码）为全权代表，参加贵方组织的</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2021年</w:t>
      </w:r>
      <w:r>
        <w:rPr>
          <w:rFonts w:hint="eastAsia" w:ascii="仿宋_GB2312" w:hAnsi="宋体" w:eastAsia="仿宋_GB2312"/>
          <w:sz w:val="24"/>
          <w:szCs w:val="24"/>
          <w:u w:val="single"/>
        </w:rPr>
        <w:t>临江公司三固项目年度委外检测服务</w:t>
      </w:r>
      <w:r>
        <w:rPr>
          <w:rFonts w:hint="eastAsia" w:ascii="仿宋_GB2312" w:eastAsia="仿宋_GB2312"/>
          <w:sz w:val="24"/>
          <w:szCs w:val="24"/>
          <w:u w:val="single"/>
        </w:rPr>
        <w:t xml:space="preserve">   </w:t>
      </w:r>
      <w:r>
        <w:rPr>
          <w:rFonts w:hint="eastAsia" w:ascii="仿宋_GB2312" w:eastAsia="仿宋_GB2312"/>
          <w:sz w:val="24"/>
          <w:szCs w:val="24"/>
        </w:rPr>
        <w:t>（招标项目名称）编号为</w:t>
      </w:r>
      <w:r>
        <w:rPr>
          <w:rFonts w:ascii="仿宋_GB2312" w:hAnsi="仿宋_GB2312" w:eastAsia="仿宋_GB2312" w:cs="仿宋_GB2312"/>
          <w:sz w:val="24"/>
          <w:szCs w:val="24"/>
        </w:rPr>
        <w:t xml:space="preserve"> </w:t>
      </w:r>
      <w:r>
        <w:rPr>
          <w:rFonts w:hint="eastAsia" w:ascii="仿宋_GB2312" w:eastAsia="仿宋_GB2312"/>
          <w:sz w:val="24"/>
          <w:szCs w:val="24"/>
          <w:u w:val="single"/>
        </w:rPr>
        <w:t xml:space="preserve">           </w:t>
      </w:r>
      <w:r>
        <w:rPr>
          <w:rFonts w:ascii="仿宋_GB2312" w:hAnsi="仿宋_GB2312" w:eastAsia="仿宋_GB2312" w:cs="仿宋_GB2312"/>
          <w:sz w:val="24"/>
          <w:szCs w:val="24"/>
        </w:rPr>
        <w:t xml:space="preserve"> </w:t>
      </w:r>
      <w:r>
        <w:rPr>
          <w:rFonts w:hint="eastAsia" w:ascii="仿宋_GB2312" w:eastAsia="仿宋_GB2312"/>
          <w:sz w:val="24"/>
          <w:szCs w:val="24"/>
        </w:rPr>
        <w:t>招标活动并投标。为此：</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w:t>
      </w:r>
      <w:r>
        <w:rPr>
          <w:rFonts w:hint="eastAsia" w:ascii="仿宋_GB2312" w:eastAsia="仿宋_GB2312"/>
          <w:sz w:val="24"/>
          <w:szCs w:val="24"/>
          <w:u w:val="single"/>
        </w:rPr>
        <w:t xml:space="preserve">                  </w:t>
      </w:r>
      <w:r>
        <w:rPr>
          <w:rFonts w:hint="eastAsia" w:ascii="仿宋_GB2312" w:eastAsia="仿宋_GB2312"/>
          <w:sz w:val="24"/>
          <w:szCs w:val="24"/>
        </w:rPr>
        <w:t>邮编：</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w:t>
      </w:r>
      <w:r>
        <w:rPr>
          <w:rFonts w:hint="eastAsia" w:ascii="仿宋_GB2312" w:eastAsia="仿宋_GB2312"/>
          <w:sz w:val="24"/>
          <w:szCs w:val="24"/>
          <w:u w:val="single"/>
        </w:rPr>
        <w:t xml:space="preserve">                  </w:t>
      </w:r>
      <w:r>
        <w:rPr>
          <w:rFonts w:hint="eastAsia" w:ascii="仿宋_GB2312" w:eastAsia="仿宋_GB2312"/>
          <w:sz w:val="24"/>
          <w:szCs w:val="24"/>
        </w:rPr>
        <w:t>传真：</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w:t>
      </w:r>
      <w:r>
        <w:rPr>
          <w:rFonts w:hint="eastAsia" w:ascii="仿宋_GB2312" w:eastAsia="仿宋_GB2312"/>
          <w:sz w:val="24"/>
          <w:szCs w:val="24"/>
          <w:u w:val="single"/>
        </w:rPr>
        <w:t xml:space="preserve">                   </w:t>
      </w:r>
      <w:r>
        <w:rPr>
          <w:rFonts w:hint="eastAsia" w:ascii="仿宋_GB2312" w:eastAsia="仿宋_GB2312"/>
          <w:sz w:val="24"/>
          <w:szCs w:val="24"/>
        </w:rPr>
        <w:t>开户行：</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w:t>
      </w:r>
      <w:r>
        <w:rPr>
          <w:rFonts w:hint="eastAsia" w:ascii="仿宋_GB2312" w:eastAsia="仿宋_GB2312"/>
          <w:sz w:val="24"/>
          <w:szCs w:val="24"/>
          <w:u w:val="single"/>
        </w:rPr>
        <w:t xml:space="preserve">                    </w:t>
      </w:r>
      <w:r>
        <w:rPr>
          <w:rFonts w:hint="eastAsia" w:ascii="仿宋_GB2312" w:eastAsia="仿宋_GB2312"/>
          <w:sz w:val="24"/>
          <w:szCs w:val="24"/>
        </w:rPr>
        <w:t>（公章）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授权代表签字：</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360" w:lineRule="auto"/>
        <w:jc w:val="left"/>
        <w:rPr>
          <w:rStyle w:val="13"/>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sz w:val="30"/>
        </w:rPr>
      </w:pPr>
      <w:r>
        <w:rPr>
          <w:rStyle w:val="13"/>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u w:val="single"/>
          <w:lang w:val="en-US" w:eastAsia="zh-CN"/>
        </w:rPr>
        <w:t>2021年</w:t>
      </w:r>
      <w:r>
        <w:rPr>
          <w:rFonts w:hint="eastAsia" w:ascii="仿宋_GB2312" w:eastAsia="仿宋_GB2312"/>
          <w:sz w:val="30"/>
          <w:szCs w:val="22"/>
          <w:u w:val="single"/>
        </w:rPr>
        <w:t>临江公司三固项目年度委外检测服务</w:t>
      </w:r>
      <w:r>
        <w:rPr>
          <w:rFonts w:hint="eastAsia" w:ascii="仿宋_GB2312" w:eastAsia="仿宋_GB2312"/>
          <w:sz w:val="30"/>
          <w:u w:val="single"/>
        </w:rPr>
        <w:t xml:space="preserve">     </w:t>
      </w:r>
      <w:r>
        <w:rPr>
          <w:rFonts w:hint="eastAsia" w:ascii="仿宋_GB2312" w:eastAsia="仿宋_GB2312"/>
          <w:sz w:val="30"/>
        </w:rPr>
        <w:t>（招标项目名称）编号为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hint="eastAsia" w:ascii="仿宋_GB2312" w:eastAsia="仿宋_GB2312"/>
          <w:sz w:val="30"/>
          <w:u w:val="single"/>
        </w:rPr>
      </w:pPr>
      <w:r>
        <w:rPr>
          <w:rFonts w:hint="eastAsia" w:ascii="仿宋_GB2312" w:eastAsia="仿宋_GB2312"/>
          <w:sz w:val="30"/>
          <w:szCs w:val="22"/>
        </w:rPr>
        <w:t>授权</w:t>
      </w:r>
      <w:r>
        <w:rPr>
          <w:rFonts w:hint="eastAsia" w:ascii="仿宋_GB2312" w:eastAsia="仿宋_GB2312"/>
          <w:sz w:val="30"/>
        </w:rPr>
        <w:t>代表签字：</w:t>
      </w:r>
      <w:r>
        <w:rPr>
          <w:rFonts w:hint="eastAsia" w:ascii="仿宋_GB2312" w:eastAsia="仿宋_GB2312"/>
          <w:sz w:val="30"/>
          <w:u w:val="single"/>
        </w:rPr>
        <w:t xml:space="preserve">                  </w:t>
      </w:r>
    </w:p>
    <w:p>
      <w:pPr>
        <w:snapToGrid w:val="0"/>
        <w:spacing w:line="360" w:lineRule="auto"/>
        <w:ind w:right="480"/>
        <w:rPr>
          <w:rFonts w:hint="default" w:ascii="仿宋_GB2312" w:eastAsia="仿宋_GB2312"/>
          <w:sz w:val="30"/>
          <w:u w:val="single"/>
          <w:lang w:val="en-US" w:eastAsia="zh-CN"/>
        </w:rPr>
      </w:pPr>
      <w:r>
        <w:rPr>
          <w:rFonts w:hint="eastAsia" w:ascii="仿宋_GB2312" w:eastAsia="仿宋_GB2312"/>
          <w:sz w:val="30"/>
        </w:rPr>
        <w:t xml:space="preserve">           </w:t>
      </w:r>
      <w:r>
        <w:rPr>
          <w:rFonts w:hint="eastAsia" w:ascii="仿宋_GB2312" w:eastAsia="仿宋_GB2312"/>
          <w:sz w:val="30"/>
          <w:lang w:eastAsia="zh-CN"/>
        </w:rPr>
        <w:t>联系方式：</w:t>
      </w:r>
      <w:r>
        <w:rPr>
          <w:rFonts w:hint="eastAsia" w:ascii="仿宋_GB2312" w:eastAsia="仿宋_GB2312"/>
          <w:sz w:val="30"/>
          <w:u w:val="single"/>
          <w:lang w:val="en-US" w:eastAsia="zh-CN"/>
        </w:rPr>
        <w:t xml:space="preserve">                  </w:t>
      </w:r>
    </w:p>
    <w:p>
      <w:pPr>
        <w:spacing w:line="360" w:lineRule="auto"/>
        <w:ind w:left="540" w:leftChars="257" w:firstLine="1086" w:firstLineChars="362"/>
        <w:rPr>
          <w:rFonts w:hint="eastAsia" w:ascii="仿宋_GB2312" w:eastAsia="仿宋_GB2312"/>
          <w:sz w:val="30"/>
          <w:szCs w:val="22"/>
        </w:rPr>
      </w:pPr>
      <w:r>
        <w:rPr>
          <w:rFonts w:hint="eastAsia" w:ascii="仿宋_GB2312" w:eastAsia="仿宋_GB2312"/>
          <w:sz w:val="30"/>
          <w:szCs w:val="22"/>
        </w:rPr>
        <w:t>日期： 2021 年    月    日</w:t>
      </w:r>
    </w:p>
    <w:p>
      <w:pPr>
        <w:adjustRightInd w:val="0"/>
        <w:snapToGrid w:val="0"/>
        <w:spacing w:line="360" w:lineRule="auto"/>
        <w:ind w:right="480"/>
        <w:jc w:val="left"/>
        <w:rPr>
          <w:rFonts w:ascii="仿宋_GB2312" w:hAnsi="宋体" w:eastAsia="仿宋_GB2312"/>
          <w:b/>
          <w:color w:val="000000"/>
          <w:kern w:val="0"/>
          <w:sz w:val="32"/>
          <w:szCs w:val="32"/>
          <w:lang w:val="zh-CN"/>
        </w:rPr>
      </w:pPr>
      <w:r>
        <w:rPr>
          <w:rStyle w:val="13"/>
          <w:rFonts w:ascii="仿宋_GB2312" w:eastAsia="仿宋_GB2312"/>
          <w:sz w:val="30"/>
        </w:rPr>
        <w:br w:type="page"/>
      </w:r>
      <w:r>
        <w:rPr>
          <w:rStyle w:val="13"/>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w:t>
      </w:r>
      <w:r>
        <w:rPr>
          <w:rFonts w:hint="eastAsia" w:ascii="仿宋_GB2312" w:eastAsia="仿宋_GB2312"/>
          <w:snapToGrid w:val="0"/>
          <w:sz w:val="30"/>
          <w:u w:val="single"/>
          <w:lang w:val="en-US" w:eastAsia="zh-CN"/>
        </w:rPr>
        <w:t>2021年</w:t>
      </w:r>
      <w:r>
        <w:rPr>
          <w:rFonts w:hint="eastAsia" w:ascii="仿宋_GB2312" w:eastAsia="仿宋_GB2312"/>
          <w:snapToGrid w:val="0"/>
          <w:sz w:val="30"/>
          <w:szCs w:val="22"/>
          <w:u w:val="single"/>
        </w:rPr>
        <w:t>临江公司三固项目年度委外检测服务</w:t>
      </w:r>
      <w:r>
        <w:rPr>
          <w:rFonts w:hint="eastAsia" w:ascii="仿宋_GB2312" w:eastAsia="仿宋_GB2312"/>
          <w:snapToGrid w:val="0"/>
          <w:sz w:val="30"/>
          <w:u w:val="single"/>
        </w:rPr>
        <w:t xml:space="preserve">    </w:t>
      </w:r>
      <w:r>
        <w:rPr>
          <w:rFonts w:hint="eastAsia" w:ascii="仿宋_GB2312" w:eastAsia="仿宋_GB2312"/>
          <w:snapToGrid w:val="0"/>
          <w:sz w:val="30"/>
        </w:rPr>
        <w:t>项目的投标，具体如下：</w:t>
      </w:r>
    </w:p>
    <w:p>
      <w:pPr>
        <w:jc w:val="right"/>
        <w:rPr>
          <w:rFonts w:ascii="仿宋_GB2312" w:eastAsia="仿宋_GB2312"/>
          <w:sz w:val="30"/>
        </w:rPr>
      </w:pPr>
      <w:r>
        <w:rPr>
          <w:rFonts w:hint="eastAsia" w:ascii="仿宋_GB2312" w:eastAsia="仿宋_GB2312"/>
          <w:sz w:val="30"/>
        </w:rPr>
        <w:t xml:space="preserve">                                                             </w:t>
      </w:r>
      <w:r>
        <w:rPr>
          <w:rFonts w:hint="eastAsia" w:ascii="仿宋_GB2312" w:eastAsia="仿宋_GB2312"/>
          <w:snapToGrid w:val="0"/>
          <w:sz w:val="30"/>
        </w:rPr>
        <w:t>（金额单位：元，税率为   %）</w:t>
      </w:r>
    </w:p>
    <w:p>
      <w:pPr>
        <w:jc w:val="right"/>
        <w:rPr>
          <w:rFonts w:ascii="仿宋_GB2312" w:eastAsia="仿宋_GB2312"/>
          <w:sz w:val="30"/>
        </w:rPr>
      </w:pPr>
      <w:r>
        <w:rPr>
          <w:rFonts w:hint="eastAsia" w:ascii="仿宋_GB2312" w:eastAsia="仿宋_GB2312"/>
          <w:sz w:val="30"/>
        </w:rPr>
        <w:t xml:space="preserve">   </w:t>
      </w:r>
    </w:p>
    <w:p>
      <w:pPr>
        <w:jc w:val="right"/>
        <w:rPr>
          <w:rFonts w:ascii="Arial" w:hAnsi="Arial" w:cs="Arial"/>
          <w:szCs w:val="21"/>
        </w:rPr>
      </w:pPr>
      <w:r>
        <w:rPr>
          <w:rFonts w:ascii="Arial" w:hAnsi="Arial" w:cs="Arial"/>
          <w:szCs w:val="21"/>
        </w:rPr>
        <w:t>单位：元人民币</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4"/>
        <w:gridCol w:w="3941"/>
        <w:gridCol w:w="992"/>
        <w:gridCol w:w="850"/>
        <w:gridCol w:w="1276"/>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864" w:type="dxa"/>
            <w:vAlign w:val="center"/>
          </w:tcPr>
          <w:p>
            <w:pPr>
              <w:spacing w:line="360" w:lineRule="auto"/>
              <w:jc w:val="center"/>
              <w:rPr>
                <w:rFonts w:ascii="Arial" w:hAnsi="Arial" w:cs="Arial"/>
                <w:b/>
                <w:szCs w:val="21"/>
              </w:rPr>
            </w:pPr>
            <w:r>
              <w:rPr>
                <w:rFonts w:ascii="Arial" w:hAnsi="Arial" w:cs="Arial"/>
                <w:b/>
                <w:szCs w:val="21"/>
              </w:rPr>
              <w:t>序号</w:t>
            </w:r>
          </w:p>
        </w:tc>
        <w:tc>
          <w:tcPr>
            <w:tcW w:w="3941" w:type="dxa"/>
            <w:vAlign w:val="center"/>
          </w:tcPr>
          <w:p>
            <w:pPr>
              <w:spacing w:line="360" w:lineRule="auto"/>
              <w:jc w:val="center"/>
              <w:rPr>
                <w:rFonts w:ascii="Arial" w:hAnsi="Arial" w:cs="Arial"/>
                <w:b/>
                <w:szCs w:val="21"/>
              </w:rPr>
            </w:pPr>
            <w:r>
              <w:rPr>
                <w:rFonts w:ascii="Arial" w:hAnsi="Arial" w:cs="Arial"/>
                <w:b/>
                <w:szCs w:val="21"/>
              </w:rPr>
              <w:t>项目名称</w:t>
            </w:r>
          </w:p>
        </w:tc>
        <w:tc>
          <w:tcPr>
            <w:tcW w:w="992" w:type="dxa"/>
            <w:vAlign w:val="center"/>
          </w:tcPr>
          <w:p>
            <w:pPr>
              <w:spacing w:line="360" w:lineRule="auto"/>
              <w:jc w:val="center"/>
              <w:rPr>
                <w:rFonts w:ascii="Arial" w:hAnsi="Arial" w:cs="Arial"/>
                <w:b/>
                <w:szCs w:val="21"/>
              </w:rPr>
            </w:pPr>
            <w:r>
              <w:rPr>
                <w:rFonts w:ascii="Arial" w:hAnsi="Arial" w:cs="Arial"/>
                <w:b/>
                <w:szCs w:val="21"/>
              </w:rPr>
              <w:t>单位</w:t>
            </w:r>
          </w:p>
        </w:tc>
        <w:tc>
          <w:tcPr>
            <w:tcW w:w="850" w:type="dxa"/>
            <w:vAlign w:val="center"/>
          </w:tcPr>
          <w:p>
            <w:pPr>
              <w:spacing w:line="360" w:lineRule="auto"/>
              <w:jc w:val="center"/>
              <w:rPr>
                <w:rFonts w:ascii="Arial" w:hAnsi="Arial" w:cs="Arial"/>
                <w:b/>
                <w:szCs w:val="21"/>
              </w:rPr>
            </w:pPr>
            <w:r>
              <w:rPr>
                <w:rFonts w:ascii="Arial" w:hAnsi="Arial" w:cs="Arial"/>
                <w:b/>
                <w:szCs w:val="21"/>
              </w:rPr>
              <w:t>数量</w:t>
            </w:r>
          </w:p>
        </w:tc>
        <w:tc>
          <w:tcPr>
            <w:tcW w:w="1276" w:type="dxa"/>
            <w:vAlign w:val="center"/>
          </w:tcPr>
          <w:p>
            <w:pPr>
              <w:spacing w:line="360" w:lineRule="auto"/>
              <w:jc w:val="center"/>
              <w:rPr>
                <w:rFonts w:ascii="Arial" w:hAnsi="Arial" w:cs="Arial"/>
                <w:b/>
                <w:szCs w:val="21"/>
              </w:rPr>
            </w:pPr>
            <w:r>
              <w:rPr>
                <w:rFonts w:ascii="Arial" w:hAnsi="Arial" w:cs="Arial"/>
                <w:b/>
                <w:szCs w:val="21"/>
              </w:rPr>
              <w:t>投标报价</w:t>
            </w:r>
          </w:p>
        </w:tc>
        <w:tc>
          <w:tcPr>
            <w:tcW w:w="1134" w:type="dxa"/>
            <w:vAlign w:val="center"/>
          </w:tcPr>
          <w:p>
            <w:pPr>
              <w:spacing w:line="360" w:lineRule="auto"/>
              <w:jc w:val="center"/>
              <w:rPr>
                <w:rFonts w:ascii="Arial" w:hAnsi="Arial" w:cs="Arial"/>
                <w:b/>
                <w:szCs w:val="21"/>
              </w:rPr>
            </w:pPr>
            <w:r>
              <w:rPr>
                <w:rFonts w:ascii="Arial" w:hAnsi="Arial" w:cs="Arial"/>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6" w:hRule="exact"/>
          <w:jc w:val="center"/>
        </w:trPr>
        <w:tc>
          <w:tcPr>
            <w:tcW w:w="864" w:type="dxa"/>
            <w:vAlign w:val="center"/>
          </w:tcPr>
          <w:p>
            <w:pPr>
              <w:spacing w:line="360" w:lineRule="auto"/>
              <w:jc w:val="center"/>
              <w:rPr>
                <w:rFonts w:ascii="Arial" w:hAnsi="Arial" w:cs="Arial"/>
                <w:szCs w:val="21"/>
              </w:rPr>
            </w:pPr>
            <w:r>
              <w:rPr>
                <w:rFonts w:ascii="Arial" w:hAnsi="Arial" w:cs="Arial"/>
                <w:szCs w:val="21"/>
              </w:rPr>
              <w:t>1</w:t>
            </w:r>
          </w:p>
        </w:tc>
        <w:tc>
          <w:tcPr>
            <w:tcW w:w="3941" w:type="dxa"/>
            <w:vAlign w:val="center"/>
          </w:tcPr>
          <w:p>
            <w:pPr>
              <w:spacing w:line="360" w:lineRule="auto"/>
              <w:jc w:val="left"/>
              <w:rPr>
                <w:rFonts w:ascii="Arial" w:hAnsi="Arial" w:cs="Arial"/>
                <w:szCs w:val="21"/>
              </w:rPr>
            </w:pPr>
            <w:r>
              <w:rPr>
                <w:rFonts w:hint="eastAsia" w:ascii="仿宋_GB2312" w:eastAsia="仿宋_GB2312"/>
                <w:b/>
                <w:bCs/>
                <w:snapToGrid w:val="0"/>
                <w:szCs w:val="21"/>
                <w:lang w:val="en-US" w:eastAsia="zh-CN"/>
              </w:rPr>
              <w:t>2021年</w:t>
            </w:r>
            <w:r>
              <w:rPr>
                <w:rFonts w:hint="eastAsia" w:ascii="仿宋_GB2312" w:eastAsia="仿宋_GB2312"/>
                <w:b/>
                <w:bCs/>
                <w:snapToGrid w:val="0"/>
                <w:szCs w:val="21"/>
              </w:rPr>
              <w:t>临江公司三固项目年度委外检测服务</w:t>
            </w:r>
          </w:p>
        </w:tc>
        <w:tc>
          <w:tcPr>
            <w:tcW w:w="992" w:type="dxa"/>
            <w:vAlign w:val="center"/>
          </w:tcPr>
          <w:p>
            <w:pPr>
              <w:spacing w:line="360" w:lineRule="auto"/>
              <w:jc w:val="center"/>
              <w:rPr>
                <w:rFonts w:ascii="Arial" w:hAnsi="Arial" w:cs="Arial"/>
                <w:szCs w:val="21"/>
              </w:rPr>
            </w:pPr>
            <w:r>
              <w:rPr>
                <w:rFonts w:ascii="Arial" w:hAnsi="Arial" w:cs="Arial"/>
                <w:b/>
                <w:bCs/>
                <w:szCs w:val="21"/>
              </w:rPr>
              <w:t>项</w:t>
            </w:r>
          </w:p>
        </w:tc>
        <w:tc>
          <w:tcPr>
            <w:tcW w:w="850" w:type="dxa"/>
            <w:vAlign w:val="center"/>
          </w:tcPr>
          <w:p>
            <w:pPr>
              <w:spacing w:line="360" w:lineRule="auto"/>
              <w:jc w:val="center"/>
              <w:rPr>
                <w:rFonts w:ascii="Arial" w:hAnsi="Arial" w:cs="Arial"/>
                <w:szCs w:val="21"/>
              </w:rPr>
            </w:pPr>
            <w:r>
              <w:rPr>
                <w:rFonts w:ascii="Arial" w:hAnsi="Arial" w:cs="Arial"/>
                <w:szCs w:val="21"/>
              </w:rPr>
              <w:t>1</w:t>
            </w:r>
          </w:p>
        </w:tc>
        <w:tc>
          <w:tcPr>
            <w:tcW w:w="1276" w:type="dxa"/>
            <w:vAlign w:val="center"/>
          </w:tcPr>
          <w:p>
            <w:pPr>
              <w:spacing w:line="360" w:lineRule="auto"/>
              <w:jc w:val="center"/>
              <w:rPr>
                <w:rFonts w:ascii="Arial" w:hAnsi="Arial" w:cs="Arial"/>
                <w:szCs w:val="21"/>
              </w:rPr>
            </w:pPr>
          </w:p>
        </w:tc>
        <w:tc>
          <w:tcPr>
            <w:tcW w:w="1134" w:type="dxa"/>
            <w:vAlign w:val="center"/>
          </w:tcPr>
          <w:p>
            <w:pPr>
              <w:spacing w:line="360" w:lineRule="auto"/>
              <w:jc w:val="center"/>
              <w:rPr>
                <w:rFonts w:ascii="Arial" w:hAnsi="Arial" w:cs="Arial"/>
                <w:szCs w:val="21"/>
              </w:rPr>
            </w:pPr>
          </w:p>
        </w:tc>
      </w:tr>
    </w:tbl>
    <w:p>
      <w:pPr>
        <w:spacing w:line="360" w:lineRule="auto"/>
        <w:rPr>
          <w:rFonts w:ascii="仿宋_GB2312" w:eastAsia="仿宋_GB2312"/>
          <w:sz w:val="30"/>
        </w:rPr>
      </w:pPr>
    </w:p>
    <w:p>
      <w:pPr>
        <w:spacing w:line="480" w:lineRule="auto"/>
        <w:ind w:left="540" w:firstLine="30"/>
        <w:jc w:val="left"/>
        <w:rPr>
          <w:rFonts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szCs w:val="22"/>
        </w:rPr>
        <w:t>法定代表人或其授权代表</w:t>
      </w:r>
      <w:r>
        <w:rPr>
          <w:rFonts w:hint="eastAsia" w:ascii="仿宋_GB2312" w:eastAsia="仿宋_GB2312"/>
          <w:sz w:val="30"/>
        </w:rPr>
        <w:t>：</w:t>
      </w:r>
      <w:r>
        <w:rPr>
          <w:rFonts w:hint="eastAsia" w:ascii="仿宋_GB2312" w:eastAsia="仿宋_GB2312"/>
          <w:sz w:val="30"/>
          <w:u w:val="single"/>
        </w:rPr>
        <w:t xml:space="preserve">                  </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2021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6" w:name="_Toc103165678"/>
      <w:bookmarkStart w:id="47" w:name="_Toc108839328"/>
      <w:r>
        <w:rPr>
          <w:rStyle w:val="13"/>
          <w:rFonts w:hint="eastAsia" w:ascii="仿宋_GB2312" w:eastAsia="仿宋_GB2312"/>
          <w:sz w:val="30"/>
        </w:rPr>
        <w:t>附件</w:t>
      </w:r>
      <w:bookmarkEnd w:id="46"/>
      <w:bookmarkEnd w:id="47"/>
      <w:r>
        <w:rPr>
          <w:rStyle w:val="13"/>
          <w:rFonts w:hint="eastAsia" w:ascii="仿宋_GB2312" w:eastAsia="仿宋_GB2312"/>
          <w:sz w:val="30"/>
        </w:rPr>
        <w:t>五</w:t>
      </w:r>
    </w:p>
    <w:p>
      <w:pPr>
        <w:spacing w:line="480" w:lineRule="auto"/>
        <w:jc w:val="center"/>
        <w:rPr>
          <w:b/>
          <w:spacing w:val="40"/>
          <w:sz w:val="36"/>
          <w:szCs w:val="22"/>
        </w:rPr>
      </w:pPr>
      <w:bookmarkStart w:id="48" w:name="_Toc102529523"/>
      <w:r>
        <w:rPr>
          <w:rFonts w:hint="eastAsia"/>
          <w:b/>
          <w:spacing w:val="40"/>
          <w:sz w:val="36"/>
          <w:szCs w:val="22"/>
        </w:rPr>
        <w:t>投标报价明细表</w:t>
      </w:r>
    </w:p>
    <w:p>
      <w:pPr>
        <w:spacing w:line="360" w:lineRule="auto"/>
        <w:rPr>
          <w:rFonts w:ascii="仿宋_GB2312" w:eastAsia="仿宋_GB2312"/>
          <w:snapToGrid w:val="0"/>
          <w:sz w:val="30"/>
          <w:szCs w:val="22"/>
        </w:rPr>
      </w:pPr>
      <w:r>
        <w:rPr>
          <w:rFonts w:hint="eastAsia" w:ascii="仿宋_GB2312" w:eastAsia="仿宋_GB2312"/>
          <w:snapToGrid w:val="0"/>
          <w:sz w:val="30"/>
          <w:szCs w:val="22"/>
        </w:rPr>
        <w:t>项目名称：</w:t>
      </w:r>
      <w:r>
        <w:rPr>
          <w:rFonts w:hint="eastAsia" w:ascii="仿宋_GB2312" w:eastAsia="仿宋_GB2312"/>
          <w:snapToGrid w:val="0"/>
          <w:sz w:val="30"/>
          <w:szCs w:val="22"/>
          <w:lang w:val="en-US" w:eastAsia="zh-CN"/>
        </w:rPr>
        <w:t>2021年</w:t>
      </w:r>
      <w:r>
        <w:rPr>
          <w:rFonts w:hint="eastAsia" w:ascii="仿宋_GB2312" w:eastAsia="仿宋_GB2312"/>
          <w:snapToGrid w:val="0"/>
          <w:sz w:val="30"/>
          <w:szCs w:val="22"/>
        </w:rPr>
        <w:t>临江公司三固项目年度委外检测服务</w:t>
      </w:r>
    </w:p>
    <w:p>
      <w:pPr>
        <w:spacing w:line="360" w:lineRule="auto"/>
        <w:rPr>
          <w:rFonts w:ascii="仿宋_GB2312" w:eastAsia="仿宋_GB2312"/>
          <w:b/>
          <w:bCs/>
          <w:snapToGrid w:val="0"/>
          <w:sz w:val="30"/>
          <w:szCs w:val="22"/>
        </w:rPr>
      </w:pPr>
      <w:r>
        <w:rPr>
          <w:rFonts w:hint="eastAsia" w:ascii="仿宋_GB2312" w:eastAsia="仿宋_GB2312"/>
          <w:b/>
          <w:bCs/>
          <w:snapToGrid w:val="0"/>
          <w:sz w:val="30"/>
          <w:szCs w:val="22"/>
        </w:rPr>
        <w:t>格式自拟</w:t>
      </w:r>
    </w:p>
    <w:p>
      <w:pPr>
        <w:spacing w:line="360" w:lineRule="auto"/>
        <w:rPr>
          <w:rFonts w:ascii="仿宋_GB2312" w:eastAsia="仿宋_GB2312"/>
          <w:snapToGrid w:val="0"/>
          <w:sz w:val="30"/>
          <w:szCs w:val="22"/>
        </w:rPr>
      </w:pPr>
      <w:r>
        <w:rPr>
          <w:rFonts w:hint="eastAsia" w:ascii="仿宋_GB2312" w:eastAsia="仿宋_GB2312"/>
          <w:snapToGrid w:val="0"/>
          <w:sz w:val="30"/>
          <w:szCs w:val="22"/>
        </w:rPr>
        <w:t>1、投标人应根据招标文件自行报价。</w:t>
      </w:r>
    </w:p>
    <w:p>
      <w:pPr>
        <w:spacing w:line="360" w:lineRule="auto"/>
        <w:rPr>
          <w:rFonts w:ascii="仿宋_GB2312" w:eastAsia="仿宋_GB2312"/>
          <w:snapToGrid w:val="0"/>
          <w:sz w:val="30"/>
          <w:szCs w:val="22"/>
        </w:rPr>
      </w:pPr>
      <w:r>
        <w:rPr>
          <w:rFonts w:hint="eastAsia" w:ascii="仿宋_GB2312" w:eastAsia="仿宋_GB2312"/>
          <w:snapToGrid w:val="0"/>
          <w:sz w:val="30"/>
          <w:szCs w:val="22"/>
        </w:rPr>
        <w:t>2、报价必须包括提供项目服务所需的一切人员工资、奖金、各种加班费、各种社会保险（基本养老保险、基本医疗保险、工伤保险、失业保险等）、食宿与交通、高温补偿费、机械、钻孔打井、设备、车辆、安全、管理费用、税费、利润等完成合同所需的一切本身和不可或缺的所有工作开支、政策性文件规定及合同包含的所有风险、责任等各项全部费用并承担一切风险责任。</w:t>
      </w:r>
    </w:p>
    <w:p>
      <w:pPr>
        <w:spacing w:line="360" w:lineRule="auto"/>
        <w:rPr>
          <w:rFonts w:ascii="仿宋_GB2312" w:eastAsia="仿宋_GB2312"/>
          <w:snapToGrid w:val="0"/>
          <w:sz w:val="30"/>
          <w:szCs w:val="22"/>
          <w:shd w:val="pct10" w:color="auto" w:fill="FFFFFF"/>
        </w:rPr>
      </w:pPr>
      <w:r>
        <w:rPr>
          <w:rFonts w:hint="eastAsia" w:ascii="仿宋_GB2312" w:eastAsia="仿宋_GB2312"/>
          <w:snapToGrid w:val="0"/>
          <w:sz w:val="30"/>
          <w:szCs w:val="22"/>
        </w:rPr>
        <w:t>3、投标报价参照《关于调整浙江省环境检测专业服务收费标准的通知》浙价费[2000]147号中相关的收费标准下浮后</w:t>
      </w:r>
      <w:r>
        <w:rPr>
          <w:rFonts w:hint="eastAsia" w:ascii="仿宋_GB2312" w:eastAsia="仿宋_GB2312"/>
          <w:b w:val="0"/>
          <w:bCs/>
          <w:snapToGrid w:val="0"/>
          <w:color w:val="auto"/>
          <w:sz w:val="30"/>
          <w:szCs w:val="22"/>
        </w:rPr>
        <w:t>的金额</w:t>
      </w:r>
      <w:r>
        <w:rPr>
          <w:rFonts w:hint="eastAsia" w:ascii="仿宋_GB2312" w:eastAsia="仿宋_GB2312"/>
          <w:snapToGrid w:val="0"/>
          <w:sz w:val="30"/>
          <w:szCs w:val="22"/>
        </w:rPr>
        <w:t>。</w:t>
      </w:r>
    </w:p>
    <w:p>
      <w:pPr>
        <w:spacing w:line="360" w:lineRule="auto"/>
        <w:rPr>
          <w:rFonts w:ascii="仿宋_GB2312" w:eastAsia="仿宋_GB2312"/>
          <w:snapToGrid w:val="0"/>
          <w:sz w:val="30"/>
          <w:szCs w:val="22"/>
          <w:shd w:val="pct10" w:color="auto" w:fill="FFFFFF"/>
        </w:rPr>
      </w:pPr>
    </w:p>
    <w:p>
      <w:pPr>
        <w:spacing w:line="360" w:lineRule="auto"/>
        <w:rPr>
          <w:rFonts w:ascii="仿宋_GB2312" w:eastAsia="仿宋_GB2312"/>
          <w:snapToGrid w:val="0"/>
          <w:sz w:val="30"/>
          <w:szCs w:val="22"/>
        </w:rPr>
      </w:pPr>
      <w:r>
        <w:rPr>
          <w:rFonts w:hint="eastAsia" w:ascii="仿宋_GB2312" w:eastAsia="仿宋_GB2312"/>
          <w:snapToGrid w:val="0"/>
          <w:sz w:val="30"/>
          <w:szCs w:val="22"/>
        </w:rPr>
        <w:t xml:space="preserve">投标人：（盖章）       </w:t>
      </w:r>
    </w:p>
    <w:p>
      <w:pPr>
        <w:spacing w:line="360" w:lineRule="auto"/>
        <w:rPr>
          <w:rFonts w:ascii="仿宋_GB2312" w:eastAsia="仿宋_GB2312"/>
          <w:snapToGrid w:val="0"/>
          <w:sz w:val="30"/>
          <w:szCs w:val="22"/>
        </w:rPr>
      </w:pPr>
      <w:r>
        <w:rPr>
          <w:rFonts w:hint="eastAsia" w:ascii="仿宋_GB2312" w:eastAsia="仿宋_GB2312"/>
          <w:snapToGrid w:val="0"/>
          <w:sz w:val="30"/>
          <w:szCs w:val="22"/>
        </w:rPr>
        <w:t>法定代表人或其授权代表：（签字或盖章）</w:t>
      </w:r>
    </w:p>
    <w:p>
      <w:pPr>
        <w:spacing w:line="360" w:lineRule="auto"/>
        <w:rPr>
          <w:rFonts w:ascii="仿宋_GB2312" w:eastAsia="仿宋_GB2312"/>
          <w:snapToGrid w:val="0"/>
          <w:sz w:val="30"/>
          <w:szCs w:val="22"/>
        </w:rPr>
      </w:pPr>
      <w:r>
        <w:rPr>
          <w:rFonts w:hint="eastAsia" w:ascii="仿宋_GB2312" w:eastAsia="仿宋_GB2312"/>
          <w:snapToGrid w:val="0"/>
          <w:sz w:val="30"/>
          <w:szCs w:val="22"/>
        </w:rPr>
        <w:t>日期：</w:t>
      </w:r>
    </w:p>
    <w:p>
      <w:pPr>
        <w:jc w:val="center"/>
        <w:rPr>
          <w:b/>
          <w:spacing w:val="40"/>
          <w:sz w:val="36"/>
        </w:rPr>
      </w:pPr>
    </w:p>
    <w:p>
      <w:pPr>
        <w:jc w:val="center"/>
        <w:rPr>
          <w:b/>
          <w:spacing w:val="40"/>
          <w:sz w:val="36"/>
        </w:rPr>
      </w:pPr>
    </w:p>
    <w:p>
      <w:pPr>
        <w:jc w:val="center"/>
        <w:rPr>
          <w:b/>
          <w:spacing w:val="40"/>
          <w:sz w:val="36"/>
        </w:rPr>
      </w:pPr>
    </w:p>
    <w:p>
      <w:pPr>
        <w:jc w:val="center"/>
        <w:rPr>
          <w:b/>
          <w:spacing w:val="40"/>
          <w:sz w:val="36"/>
        </w:rPr>
      </w:pPr>
    </w:p>
    <w:p>
      <w:pPr>
        <w:rPr>
          <w:b/>
          <w:spacing w:val="40"/>
          <w:sz w:val="36"/>
        </w:rPr>
      </w:pPr>
    </w:p>
    <w:p>
      <w:pPr>
        <w:jc w:val="left"/>
        <w:rPr>
          <w:rStyle w:val="13"/>
          <w:rFonts w:ascii="仿宋_GB2312" w:eastAsia="仿宋_GB2312"/>
          <w:sz w:val="30"/>
        </w:rPr>
      </w:pPr>
      <w:r>
        <w:rPr>
          <w:rStyle w:val="13"/>
          <w:rFonts w:hint="eastAsia" w:ascii="仿宋_GB2312" w:eastAsia="仿宋_GB2312"/>
          <w:sz w:val="30"/>
        </w:rPr>
        <w:t>附件六</w:t>
      </w:r>
    </w:p>
    <w:p>
      <w:pPr>
        <w:jc w:val="center"/>
        <w:rPr>
          <w:rFonts w:ascii="Arial" w:hAnsi="Arial" w:cs="Arial"/>
          <w:b/>
          <w:sz w:val="28"/>
        </w:rPr>
      </w:pPr>
      <w:r>
        <w:rPr>
          <w:rFonts w:ascii="Arial" w:hAnsi="Arial" w:cs="Arial"/>
          <w:b/>
          <w:sz w:val="28"/>
        </w:rPr>
        <w:t>类似业绩</w:t>
      </w:r>
    </w:p>
    <w:p>
      <w:pPr>
        <w:spacing w:line="360" w:lineRule="auto"/>
        <w:rPr>
          <w:rFonts w:ascii="Arial" w:hAnsi="Arial" w:cs="Arial"/>
          <w:szCs w:val="21"/>
        </w:rPr>
      </w:pPr>
      <w:r>
        <w:rPr>
          <w:rFonts w:ascii="Arial" w:hAnsi="Arial" w:cs="Arial"/>
          <w:szCs w:val="21"/>
        </w:rPr>
        <w:t>项目名称：</w:t>
      </w:r>
    </w:p>
    <w:p>
      <w:pPr>
        <w:spacing w:line="360" w:lineRule="auto"/>
        <w:rPr>
          <w:rFonts w:ascii="Arial" w:hAnsi="Arial" w:cs="Arial"/>
          <w:szCs w:val="21"/>
          <w:u w:val="single"/>
        </w:rPr>
      </w:pPr>
      <w:r>
        <w:rPr>
          <w:rFonts w:ascii="Arial" w:hAnsi="Arial" w:cs="Arial"/>
          <w:szCs w:val="21"/>
        </w:rPr>
        <w:t>招标编号：</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59"/>
        <w:gridCol w:w="1205"/>
        <w:gridCol w:w="1205"/>
        <w:gridCol w:w="1235"/>
        <w:gridCol w:w="1294"/>
        <w:gridCol w:w="871"/>
        <w:gridCol w:w="8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09" w:type="dxa"/>
            <w:vAlign w:val="center"/>
          </w:tcPr>
          <w:p>
            <w:pPr>
              <w:jc w:val="center"/>
              <w:rPr>
                <w:rFonts w:ascii="Arial" w:hAnsi="Arial" w:cs="Arial"/>
              </w:rPr>
            </w:pPr>
            <w:r>
              <w:rPr>
                <w:rFonts w:ascii="Arial" w:hAnsi="Arial" w:cs="Arial"/>
              </w:rPr>
              <w:t>序号</w:t>
            </w:r>
          </w:p>
        </w:tc>
        <w:tc>
          <w:tcPr>
            <w:tcW w:w="1559" w:type="dxa"/>
            <w:vAlign w:val="center"/>
          </w:tcPr>
          <w:p>
            <w:pPr>
              <w:jc w:val="center"/>
              <w:rPr>
                <w:rFonts w:ascii="Arial" w:hAnsi="Arial" w:cs="Arial"/>
              </w:rPr>
            </w:pPr>
            <w:r>
              <w:rPr>
                <w:rFonts w:ascii="Arial" w:hAnsi="Arial" w:cs="Arial"/>
              </w:rPr>
              <w:t>项目名称</w:t>
            </w:r>
          </w:p>
        </w:tc>
        <w:tc>
          <w:tcPr>
            <w:tcW w:w="1205" w:type="dxa"/>
            <w:vAlign w:val="center"/>
          </w:tcPr>
          <w:p>
            <w:pPr>
              <w:jc w:val="center"/>
              <w:rPr>
                <w:rFonts w:ascii="Arial" w:hAnsi="Arial" w:cs="Arial"/>
              </w:rPr>
            </w:pPr>
            <w:r>
              <w:rPr>
                <w:rFonts w:ascii="Arial" w:hAnsi="Arial" w:cs="Arial"/>
              </w:rPr>
              <w:t>委托单位</w:t>
            </w:r>
          </w:p>
        </w:tc>
        <w:tc>
          <w:tcPr>
            <w:tcW w:w="1205" w:type="dxa"/>
            <w:vAlign w:val="center"/>
          </w:tcPr>
          <w:p>
            <w:pPr>
              <w:jc w:val="center"/>
              <w:rPr>
                <w:rFonts w:ascii="Arial" w:hAnsi="Arial" w:cs="Arial"/>
              </w:rPr>
            </w:pPr>
            <w:r>
              <w:rPr>
                <w:rFonts w:ascii="Arial" w:hAnsi="Arial" w:cs="Arial"/>
              </w:rPr>
              <w:t>合同签订时间</w:t>
            </w:r>
          </w:p>
        </w:tc>
        <w:tc>
          <w:tcPr>
            <w:tcW w:w="1235" w:type="dxa"/>
            <w:vAlign w:val="center"/>
          </w:tcPr>
          <w:p>
            <w:pPr>
              <w:jc w:val="center"/>
              <w:rPr>
                <w:rFonts w:ascii="Arial" w:hAnsi="Arial" w:cs="Arial"/>
              </w:rPr>
            </w:pPr>
            <w:r>
              <w:rPr>
                <w:rFonts w:ascii="Arial" w:hAnsi="Arial" w:cs="Arial"/>
              </w:rPr>
              <w:t>规模指标</w:t>
            </w:r>
          </w:p>
        </w:tc>
        <w:tc>
          <w:tcPr>
            <w:tcW w:w="1294" w:type="dxa"/>
            <w:vAlign w:val="center"/>
          </w:tcPr>
          <w:p>
            <w:pPr>
              <w:jc w:val="center"/>
              <w:rPr>
                <w:rFonts w:ascii="Arial" w:hAnsi="Arial" w:cs="Arial"/>
              </w:rPr>
            </w:pPr>
            <w:r>
              <w:rPr>
                <w:rFonts w:ascii="Arial" w:hAnsi="Arial" w:cs="Arial"/>
              </w:rPr>
              <w:t>合同金额</w:t>
            </w:r>
          </w:p>
          <w:p>
            <w:pPr>
              <w:jc w:val="center"/>
              <w:rPr>
                <w:rFonts w:ascii="Arial" w:hAnsi="Arial" w:cs="Arial"/>
              </w:rPr>
            </w:pPr>
            <w:r>
              <w:rPr>
                <w:rFonts w:ascii="Arial" w:hAnsi="Arial" w:cs="Arial"/>
              </w:rPr>
              <w:t>(万元)</w:t>
            </w:r>
          </w:p>
        </w:tc>
        <w:tc>
          <w:tcPr>
            <w:tcW w:w="871" w:type="dxa"/>
            <w:vAlign w:val="center"/>
          </w:tcPr>
          <w:p>
            <w:pPr>
              <w:jc w:val="center"/>
              <w:rPr>
                <w:rFonts w:ascii="Arial" w:hAnsi="Arial" w:cs="Arial"/>
              </w:rPr>
            </w:pPr>
            <w:r>
              <w:rPr>
                <w:rFonts w:ascii="Arial" w:hAnsi="Arial" w:cs="Arial"/>
              </w:rPr>
              <w:t>服务成果或目前进度</w:t>
            </w:r>
          </w:p>
        </w:tc>
        <w:tc>
          <w:tcPr>
            <w:tcW w:w="872" w:type="dxa"/>
            <w:vAlign w:val="center"/>
          </w:tcPr>
          <w:p>
            <w:pPr>
              <w:jc w:val="center"/>
              <w:rPr>
                <w:rFonts w:ascii="Arial" w:hAnsi="Arial" w:cs="Arial"/>
              </w:rPr>
            </w:pPr>
            <w:r>
              <w:rPr>
                <w:rFonts w:ascii="Arial" w:hAnsi="Arial" w:cs="Arial"/>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09" w:type="dxa"/>
            <w:vAlign w:val="center"/>
          </w:tcPr>
          <w:p>
            <w:pPr>
              <w:spacing w:line="500" w:lineRule="exact"/>
              <w:jc w:val="center"/>
              <w:rPr>
                <w:rFonts w:ascii="Arial" w:hAnsi="Arial" w:cs="Arial"/>
              </w:rPr>
            </w:pPr>
            <w:r>
              <w:rPr>
                <w:rFonts w:ascii="Arial" w:hAnsi="Arial" w:cs="Arial"/>
              </w:rPr>
              <w:t>1</w:t>
            </w:r>
          </w:p>
        </w:tc>
        <w:tc>
          <w:tcPr>
            <w:tcW w:w="1559"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35" w:type="dxa"/>
            <w:vAlign w:val="center"/>
          </w:tcPr>
          <w:p>
            <w:pPr>
              <w:spacing w:line="500" w:lineRule="exact"/>
              <w:jc w:val="center"/>
              <w:rPr>
                <w:rFonts w:ascii="Arial" w:hAnsi="Arial" w:cs="Arial"/>
              </w:rPr>
            </w:pPr>
          </w:p>
        </w:tc>
        <w:tc>
          <w:tcPr>
            <w:tcW w:w="1294" w:type="dxa"/>
          </w:tcPr>
          <w:p>
            <w:pPr>
              <w:spacing w:line="500" w:lineRule="exact"/>
              <w:jc w:val="center"/>
              <w:rPr>
                <w:rFonts w:ascii="Arial" w:hAnsi="Arial" w:cs="Arial"/>
              </w:rPr>
            </w:pPr>
          </w:p>
        </w:tc>
        <w:tc>
          <w:tcPr>
            <w:tcW w:w="871" w:type="dxa"/>
            <w:vAlign w:val="center"/>
          </w:tcPr>
          <w:p>
            <w:pPr>
              <w:jc w:val="center"/>
              <w:rPr>
                <w:rFonts w:ascii="Arial" w:hAnsi="Arial" w:cs="Arial"/>
              </w:rPr>
            </w:pPr>
          </w:p>
        </w:tc>
        <w:tc>
          <w:tcPr>
            <w:tcW w:w="872" w:type="dxa"/>
            <w:vAlign w:val="center"/>
          </w:tcPr>
          <w:p>
            <w:pPr>
              <w:spacing w:line="5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09" w:type="dxa"/>
            <w:vAlign w:val="center"/>
          </w:tcPr>
          <w:p>
            <w:pPr>
              <w:spacing w:line="500" w:lineRule="exact"/>
              <w:jc w:val="center"/>
              <w:rPr>
                <w:rFonts w:ascii="Arial" w:hAnsi="Arial" w:cs="Arial"/>
              </w:rPr>
            </w:pPr>
            <w:r>
              <w:rPr>
                <w:rFonts w:ascii="Arial" w:hAnsi="Arial" w:cs="Arial"/>
              </w:rPr>
              <w:t>2</w:t>
            </w:r>
          </w:p>
        </w:tc>
        <w:tc>
          <w:tcPr>
            <w:tcW w:w="1559"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35" w:type="dxa"/>
            <w:vAlign w:val="center"/>
          </w:tcPr>
          <w:p>
            <w:pPr>
              <w:spacing w:line="500" w:lineRule="exact"/>
              <w:jc w:val="center"/>
              <w:rPr>
                <w:rFonts w:ascii="Arial" w:hAnsi="Arial" w:cs="Arial"/>
              </w:rPr>
            </w:pPr>
          </w:p>
        </w:tc>
        <w:tc>
          <w:tcPr>
            <w:tcW w:w="1294" w:type="dxa"/>
          </w:tcPr>
          <w:p>
            <w:pPr>
              <w:spacing w:line="500" w:lineRule="exact"/>
              <w:jc w:val="center"/>
              <w:rPr>
                <w:rFonts w:ascii="Arial" w:hAnsi="Arial" w:cs="Arial"/>
              </w:rPr>
            </w:pPr>
          </w:p>
        </w:tc>
        <w:tc>
          <w:tcPr>
            <w:tcW w:w="871" w:type="dxa"/>
            <w:vAlign w:val="center"/>
          </w:tcPr>
          <w:p>
            <w:pPr>
              <w:spacing w:line="500" w:lineRule="exact"/>
              <w:jc w:val="center"/>
              <w:rPr>
                <w:rFonts w:ascii="Arial" w:hAnsi="Arial" w:cs="Arial"/>
              </w:rPr>
            </w:pPr>
          </w:p>
        </w:tc>
        <w:tc>
          <w:tcPr>
            <w:tcW w:w="872" w:type="dxa"/>
            <w:vAlign w:val="center"/>
          </w:tcPr>
          <w:p>
            <w:pPr>
              <w:spacing w:line="5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09" w:type="dxa"/>
            <w:vAlign w:val="center"/>
          </w:tcPr>
          <w:p>
            <w:pPr>
              <w:spacing w:line="500" w:lineRule="exact"/>
              <w:jc w:val="center"/>
              <w:rPr>
                <w:rFonts w:ascii="Arial" w:hAnsi="Arial" w:cs="Arial"/>
              </w:rPr>
            </w:pPr>
            <w:r>
              <w:rPr>
                <w:rFonts w:ascii="Arial" w:hAnsi="Arial" w:cs="Arial"/>
              </w:rPr>
              <w:t>...</w:t>
            </w:r>
          </w:p>
        </w:tc>
        <w:tc>
          <w:tcPr>
            <w:tcW w:w="1559"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35" w:type="dxa"/>
            <w:vAlign w:val="center"/>
          </w:tcPr>
          <w:p>
            <w:pPr>
              <w:spacing w:line="500" w:lineRule="exact"/>
              <w:jc w:val="center"/>
              <w:rPr>
                <w:rFonts w:ascii="Arial" w:hAnsi="Arial" w:cs="Arial"/>
              </w:rPr>
            </w:pPr>
          </w:p>
        </w:tc>
        <w:tc>
          <w:tcPr>
            <w:tcW w:w="1294" w:type="dxa"/>
          </w:tcPr>
          <w:p>
            <w:pPr>
              <w:spacing w:line="500" w:lineRule="exact"/>
              <w:jc w:val="center"/>
              <w:rPr>
                <w:rFonts w:ascii="Arial" w:hAnsi="Arial" w:cs="Arial"/>
              </w:rPr>
            </w:pPr>
          </w:p>
        </w:tc>
        <w:tc>
          <w:tcPr>
            <w:tcW w:w="871" w:type="dxa"/>
            <w:vAlign w:val="center"/>
          </w:tcPr>
          <w:p>
            <w:pPr>
              <w:spacing w:line="500" w:lineRule="exact"/>
              <w:jc w:val="center"/>
              <w:rPr>
                <w:rFonts w:ascii="Arial" w:hAnsi="Arial" w:cs="Arial"/>
              </w:rPr>
            </w:pPr>
          </w:p>
        </w:tc>
        <w:tc>
          <w:tcPr>
            <w:tcW w:w="872" w:type="dxa"/>
            <w:vAlign w:val="center"/>
          </w:tcPr>
          <w:p>
            <w:pPr>
              <w:spacing w:line="5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09" w:type="dxa"/>
            <w:vAlign w:val="center"/>
          </w:tcPr>
          <w:p>
            <w:pPr>
              <w:spacing w:line="500" w:lineRule="exact"/>
              <w:jc w:val="center"/>
              <w:rPr>
                <w:rFonts w:ascii="Arial" w:hAnsi="Arial" w:cs="Arial"/>
              </w:rPr>
            </w:pPr>
          </w:p>
        </w:tc>
        <w:tc>
          <w:tcPr>
            <w:tcW w:w="1559"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35" w:type="dxa"/>
            <w:vAlign w:val="center"/>
          </w:tcPr>
          <w:p>
            <w:pPr>
              <w:spacing w:line="500" w:lineRule="exact"/>
              <w:jc w:val="center"/>
              <w:rPr>
                <w:rFonts w:ascii="Arial" w:hAnsi="Arial" w:cs="Arial"/>
              </w:rPr>
            </w:pPr>
          </w:p>
        </w:tc>
        <w:tc>
          <w:tcPr>
            <w:tcW w:w="1294" w:type="dxa"/>
          </w:tcPr>
          <w:p>
            <w:pPr>
              <w:spacing w:line="500" w:lineRule="exact"/>
              <w:jc w:val="center"/>
              <w:rPr>
                <w:rFonts w:ascii="Arial" w:hAnsi="Arial" w:cs="Arial"/>
              </w:rPr>
            </w:pPr>
          </w:p>
        </w:tc>
        <w:tc>
          <w:tcPr>
            <w:tcW w:w="871" w:type="dxa"/>
            <w:vAlign w:val="center"/>
          </w:tcPr>
          <w:p>
            <w:pPr>
              <w:spacing w:line="500" w:lineRule="exact"/>
              <w:jc w:val="center"/>
              <w:rPr>
                <w:rFonts w:ascii="Arial" w:hAnsi="Arial" w:cs="Arial"/>
              </w:rPr>
            </w:pPr>
          </w:p>
        </w:tc>
        <w:tc>
          <w:tcPr>
            <w:tcW w:w="872" w:type="dxa"/>
            <w:vAlign w:val="center"/>
          </w:tcPr>
          <w:p>
            <w:pPr>
              <w:spacing w:line="5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09" w:type="dxa"/>
            <w:vAlign w:val="center"/>
          </w:tcPr>
          <w:p>
            <w:pPr>
              <w:spacing w:line="500" w:lineRule="exact"/>
              <w:jc w:val="center"/>
              <w:rPr>
                <w:rFonts w:ascii="Arial" w:hAnsi="Arial" w:cs="Arial"/>
              </w:rPr>
            </w:pPr>
          </w:p>
        </w:tc>
        <w:tc>
          <w:tcPr>
            <w:tcW w:w="1559"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35" w:type="dxa"/>
            <w:vAlign w:val="center"/>
          </w:tcPr>
          <w:p>
            <w:pPr>
              <w:spacing w:line="500" w:lineRule="exact"/>
              <w:jc w:val="center"/>
              <w:rPr>
                <w:rFonts w:ascii="Arial" w:hAnsi="Arial" w:cs="Arial"/>
              </w:rPr>
            </w:pPr>
          </w:p>
        </w:tc>
        <w:tc>
          <w:tcPr>
            <w:tcW w:w="1294" w:type="dxa"/>
          </w:tcPr>
          <w:p>
            <w:pPr>
              <w:spacing w:line="500" w:lineRule="exact"/>
              <w:jc w:val="center"/>
              <w:rPr>
                <w:rFonts w:ascii="Arial" w:hAnsi="Arial" w:cs="Arial"/>
              </w:rPr>
            </w:pPr>
          </w:p>
        </w:tc>
        <w:tc>
          <w:tcPr>
            <w:tcW w:w="871" w:type="dxa"/>
            <w:vAlign w:val="center"/>
          </w:tcPr>
          <w:p>
            <w:pPr>
              <w:spacing w:line="500" w:lineRule="exact"/>
              <w:jc w:val="center"/>
              <w:rPr>
                <w:rFonts w:ascii="Arial" w:hAnsi="Arial" w:cs="Arial"/>
              </w:rPr>
            </w:pPr>
          </w:p>
        </w:tc>
        <w:tc>
          <w:tcPr>
            <w:tcW w:w="872" w:type="dxa"/>
            <w:vAlign w:val="center"/>
          </w:tcPr>
          <w:p>
            <w:pPr>
              <w:spacing w:line="5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09" w:type="dxa"/>
            <w:vAlign w:val="center"/>
          </w:tcPr>
          <w:p>
            <w:pPr>
              <w:spacing w:line="500" w:lineRule="exact"/>
              <w:jc w:val="center"/>
              <w:rPr>
                <w:rFonts w:ascii="Arial" w:hAnsi="Arial" w:cs="Arial"/>
              </w:rPr>
            </w:pPr>
          </w:p>
        </w:tc>
        <w:tc>
          <w:tcPr>
            <w:tcW w:w="1559"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05" w:type="dxa"/>
            <w:vAlign w:val="center"/>
          </w:tcPr>
          <w:p>
            <w:pPr>
              <w:spacing w:line="500" w:lineRule="exact"/>
              <w:jc w:val="center"/>
              <w:rPr>
                <w:rFonts w:ascii="Arial" w:hAnsi="Arial" w:cs="Arial"/>
              </w:rPr>
            </w:pPr>
          </w:p>
        </w:tc>
        <w:tc>
          <w:tcPr>
            <w:tcW w:w="1235" w:type="dxa"/>
            <w:vAlign w:val="center"/>
          </w:tcPr>
          <w:p>
            <w:pPr>
              <w:spacing w:line="500" w:lineRule="exact"/>
              <w:jc w:val="center"/>
              <w:rPr>
                <w:rFonts w:ascii="Arial" w:hAnsi="Arial" w:cs="Arial"/>
              </w:rPr>
            </w:pPr>
          </w:p>
        </w:tc>
        <w:tc>
          <w:tcPr>
            <w:tcW w:w="1294" w:type="dxa"/>
          </w:tcPr>
          <w:p>
            <w:pPr>
              <w:spacing w:line="500" w:lineRule="exact"/>
              <w:jc w:val="center"/>
              <w:rPr>
                <w:rFonts w:ascii="Arial" w:hAnsi="Arial" w:cs="Arial"/>
              </w:rPr>
            </w:pPr>
          </w:p>
        </w:tc>
        <w:tc>
          <w:tcPr>
            <w:tcW w:w="871" w:type="dxa"/>
            <w:vAlign w:val="center"/>
          </w:tcPr>
          <w:p>
            <w:pPr>
              <w:spacing w:line="500" w:lineRule="exact"/>
              <w:jc w:val="center"/>
              <w:rPr>
                <w:rFonts w:ascii="Arial" w:hAnsi="Arial" w:cs="Arial"/>
              </w:rPr>
            </w:pPr>
          </w:p>
        </w:tc>
        <w:tc>
          <w:tcPr>
            <w:tcW w:w="872" w:type="dxa"/>
            <w:vAlign w:val="center"/>
          </w:tcPr>
          <w:p>
            <w:pPr>
              <w:spacing w:line="5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8950" w:type="dxa"/>
            <w:gridSpan w:val="8"/>
            <w:vAlign w:val="center"/>
          </w:tcPr>
          <w:p>
            <w:pPr>
              <w:spacing w:line="500" w:lineRule="exact"/>
              <w:jc w:val="left"/>
              <w:rPr>
                <w:rFonts w:ascii="Arial" w:hAnsi="Arial" w:cs="Arial"/>
              </w:rPr>
            </w:pPr>
          </w:p>
        </w:tc>
      </w:tr>
    </w:tbl>
    <w:p>
      <w:pPr>
        <w:spacing w:line="360" w:lineRule="auto"/>
        <w:rPr>
          <w:rFonts w:ascii="Arial" w:hAnsi="Arial" w:cs="Arial"/>
          <w:kern w:val="0"/>
          <w:szCs w:val="21"/>
        </w:rPr>
      </w:pPr>
      <w:r>
        <w:rPr>
          <w:rFonts w:ascii="Arial" w:hAnsi="Arial" w:cs="Arial"/>
          <w:kern w:val="0"/>
          <w:szCs w:val="21"/>
        </w:rPr>
        <w:t xml:space="preserve">注： </w:t>
      </w:r>
    </w:p>
    <w:p>
      <w:pPr>
        <w:spacing w:line="360" w:lineRule="auto"/>
        <w:ind w:firstLine="420" w:firstLineChars="200"/>
        <w:rPr>
          <w:rFonts w:ascii="Arial" w:hAnsi="Arial" w:cs="Arial"/>
          <w:kern w:val="0"/>
          <w:szCs w:val="21"/>
        </w:rPr>
      </w:pPr>
      <w:r>
        <w:rPr>
          <w:rFonts w:ascii="Arial" w:hAnsi="Arial" w:cs="Arial"/>
          <w:kern w:val="0"/>
          <w:szCs w:val="21"/>
        </w:rPr>
        <w:t>1、投标人如有未如实填报本表或填报本表的数据与事实不符、故意隐瞒以及其他弄虚作假行为一经查实，该投标文件作否决投标处理。</w:t>
      </w:r>
    </w:p>
    <w:p>
      <w:pPr>
        <w:spacing w:line="360" w:lineRule="exact"/>
        <w:ind w:firstLine="420" w:firstLineChars="200"/>
        <w:rPr>
          <w:rFonts w:ascii="Arial" w:hAnsi="Arial" w:cs="Arial"/>
          <w:kern w:val="0"/>
          <w:szCs w:val="21"/>
        </w:rPr>
      </w:pPr>
    </w:p>
    <w:p>
      <w:pPr>
        <w:ind w:firstLine="240" w:firstLineChars="100"/>
        <w:rPr>
          <w:rFonts w:ascii="Arial" w:hAnsi="Arial" w:cs="Arial"/>
          <w:sz w:val="24"/>
        </w:rPr>
      </w:pPr>
    </w:p>
    <w:p>
      <w:pPr>
        <w:ind w:firstLine="2415" w:firstLineChars="1150"/>
        <w:rPr>
          <w:rFonts w:ascii="Arial" w:hAnsi="Arial" w:cs="Arial"/>
          <w:szCs w:val="21"/>
        </w:rPr>
      </w:pPr>
    </w:p>
    <w:p>
      <w:pPr>
        <w:spacing w:line="300" w:lineRule="auto"/>
        <w:rPr>
          <w:rFonts w:ascii="Arial" w:hAnsi="Arial" w:cs="Arial"/>
          <w:szCs w:val="21"/>
        </w:rPr>
      </w:pPr>
    </w:p>
    <w:p>
      <w:pPr>
        <w:adjustRightInd w:val="0"/>
        <w:snapToGrid w:val="0"/>
        <w:spacing w:line="360" w:lineRule="auto"/>
        <w:rPr>
          <w:rFonts w:ascii="Arial" w:hAnsi="Arial" w:cs="Arial"/>
        </w:rPr>
      </w:pPr>
      <w:r>
        <w:rPr>
          <w:rFonts w:ascii="Arial" w:hAnsi="Arial" w:cs="Arial"/>
        </w:rPr>
        <w:t xml:space="preserve">投标人：（盖章）       </w:t>
      </w:r>
    </w:p>
    <w:p>
      <w:pPr>
        <w:adjustRightInd w:val="0"/>
        <w:snapToGrid w:val="0"/>
        <w:spacing w:line="360" w:lineRule="auto"/>
        <w:rPr>
          <w:rFonts w:ascii="Arial" w:hAnsi="Arial" w:cs="Arial"/>
        </w:rPr>
      </w:pPr>
    </w:p>
    <w:p>
      <w:pPr>
        <w:adjustRightInd w:val="0"/>
        <w:snapToGrid w:val="0"/>
        <w:spacing w:line="360" w:lineRule="auto"/>
        <w:rPr>
          <w:rFonts w:ascii="Arial" w:hAnsi="Arial" w:cs="Arial"/>
        </w:rPr>
      </w:pPr>
      <w:r>
        <w:rPr>
          <w:rFonts w:ascii="Arial" w:hAnsi="Arial" w:cs="Arial"/>
        </w:rPr>
        <w:t>法定代表人或其授权代表：（签字或盖章）</w:t>
      </w:r>
    </w:p>
    <w:p>
      <w:pPr>
        <w:spacing w:line="480" w:lineRule="auto"/>
        <w:jc w:val="left"/>
        <w:rPr>
          <w:b/>
          <w:spacing w:val="40"/>
          <w:sz w:val="36"/>
        </w:rPr>
      </w:pPr>
      <w:r>
        <w:rPr>
          <w:rFonts w:ascii="Arial" w:hAnsi="Arial" w:cs="Arial"/>
        </w:rPr>
        <w:t>日期：</w:t>
      </w:r>
      <w:r>
        <w:rPr>
          <w:rFonts w:ascii="Arial" w:hAnsi="Arial" w:cs="Arial"/>
        </w:rPr>
        <w:br w:type="page"/>
      </w:r>
    </w:p>
    <w:p>
      <w:pPr>
        <w:spacing w:line="480" w:lineRule="auto"/>
        <w:jc w:val="left"/>
        <w:rPr>
          <w:rFonts w:ascii="仿宋_GB2312" w:eastAsia="仿宋_GB2312"/>
          <w:b/>
          <w:spacing w:val="-2"/>
          <w:sz w:val="30"/>
        </w:rPr>
      </w:pPr>
      <w:r>
        <w:rPr>
          <w:rStyle w:val="13"/>
          <w:rFonts w:hint="eastAsia" w:ascii="仿宋_GB2312" w:eastAsia="仿宋_GB2312"/>
          <w:sz w:val="30"/>
        </w:rPr>
        <w:t>附件七</w:t>
      </w:r>
    </w:p>
    <w:p>
      <w:pPr>
        <w:jc w:val="center"/>
        <w:rPr>
          <w:b/>
          <w:spacing w:val="40"/>
          <w:sz w:val="36"/>
        </w:rPr>
      </w:pPr>
      <w:r>
        <w:rPr>
          <w:rFonts w:hint="eastAsia"/>
          <w:b/>
          <w:spacing w:val="40"/>
          <w:sz w:val="36"/>
        </w:rPr>
        <w:t>招标要求偏离说明表</w:t>
      </w:r>
      <w:bookmarkEnd w:id="48"/>
    </w:p>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Lines="100" w:line="540" w:lineRule="exact"/>
        <w:ind w:left="539" w:firstLine="28"/>
        <w:rPr>
          <w:rFonts w:ascii="宋体" w:hAnsi="宋体"/>
          <w:sz w:val="24"/>
        </w:rPr>
      </w:pPr>
    </w:p>
    <w:p>
      <w:pPr>
        <w:spacing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3"/>
          <w:rFonts w:hint="eastAsia" w:ascii="仿宋_GB2312" w:eastAsia="仿宋_GB2312"/>
          <w:sz w:val="30"/>
        </w:rPr>
        <w:t>附件八</w:t>
      </w:r>
    </w:p>
    <w:p>
      <w:pPr>
        <w:jc w:val="center"/>
        <w:rPr>
          <w:rFonts w:ascii="Arial" w:hAnsi="Arial" w:cs="Arial"/>
          <w:b/>
          <w:sz w:val="28"/>
        </w:rPr>
      </w:pPr>
      <w:r>
        <w:rPr>
          <w:rFonts w:ascii="Arial" w:hAnsi="Arial" w:cs="Arial"/>
          <w:b/>
          <w:sz w:val="28"/>
        </w:rPr>
        <w:t>投标人检测服务方案</w:t>
      </w:r>
    </w:p>
    <w:p>
      <w:pPr>
        <w:ind w:firstLine="3120" w:firstLineChars="1300"/>
        <w:rPr>
          <w:rFonts w:ascii="Arial" w:hAnsi="Arial" w:cs="Arial"/>
          <w:sz w:val="24"/>
        </w:rPr>
      </w:pPr>
    </w:p>
    <w:p>
      <w:pPr>
        <w:adjustRightInd w:val="0"/>
        <w:snapToGrid w:val="0"/>
        <w:spacing w:line="360" w:lineRule="auto"/>
        <w:ind w:left="428" w:leftChars="204" w:right="-185" w:rightChars="-88" w:firstLine="840" w:firstLineChars="400"/>
        <w:rPr>
          <w:rFonts w:ascii="Arial" w:hAnsi="Arial" w:cs="Arial"/>
        </w:rPr>
      </w:pPr>
      <w:r>
        <w:rPr>
          <w:rFonts w:ascii="Arial" w:hAnsi="Arial" w:cs="Arial"/>
        </w:rPr>
        <w:t>包括但不限于：</w:t>
      </w:r>
    </w:p>
    <w:p>
      <w:pPr>
        <w:adjustRightInd w:val="0"/>
        <w:snapToGrid w:val="0"/>
        <w:spacing w:line="360" w:lineRule="auto"/>
        <w:ind w:left="428" w:leftChars="204" w:right="-185" w:rightChars="-88" w:firstLine="840" w:firstLineChars="400"/>
        <w:rPr>
          <w:rFonts w:ascii="Arial" w:hAnsi="Arial" w:cs="Arial"/>
        </w:rPr>
      </w:pPr>
      <w:r>
        <w:rPr>
          <w:rFonts w:ascii="Arial" w:hAnsi="Arial" w:cs="Arial"/>
        </w:rPr>
        <w:t>1）对</w:t>
      </w:r>
      <w:r>
        <w:rPr>
          <w:rFonts w:ascii="Arial" w:hAnsi="Arial" w:cs="Arial"/>
          <w:kern w:val="0"/>
          <w:szCs w:val="21"/>
        </w:rPr>
        <w:t>本项目理解及调研情况</w:t>
      </w:r>
      <w:r>
        <w:rPr>
          <w:rFonts w:ascii="Arial" w:hAnsi="Arial" w:cs="Arial"/>
        </w:rPr>
        <w:t>；</w:t>
      </w:r>
    </w:p>
    <w:p>
      <w:pPr>
        <w:adjustRightInd w:val="0"/>
        <w:snapToGrid w:val="0"/>
        <w:spacing w:line="360" w:lineRule="auto"/>
        <w:ind w:left="428" w:leftChars="204" w:right="-185" w:rightChars="-88" w:firstLine="840" w:firstLineChars="400"/>
        <w:rPr>
          <w:rFonts w:ascii="Arial" w:hAnsi="Arial" w:cs="Arial"/>
          <w:b/>
          <w:szCs w:val="22"/>
        </w:rPr>
      </w:pPr>
      <w:r>
        <w:rPr>
          <w:rFonts w:ascii="Arial" w:hAnsi="Arial" w:cs="Arial"/>
        </w:rPr>
        <w:t>2）</w:t>
      </w:r>
      <w:r>
        <w:rPr>
          <w:rFonts w:ascii="Arial" w:hAnsi="Arial" w:cs="Arial"/>
          <w:kern w:val="0"/>
          <w:szCs w:val="21"/>
        </w:rPr>
        <w:t>工作目标、范围、内容、依据、程序等；</w:t>
      </w:r>
    </w:p>
    <w:p>
      <w:pPr>
        <w:adjustRightInd w:val="0"/>
        <w:snapToGrid w:val="0"/>
        <w:spacing w:line="360" w:lineRule="auto"/>
        <w:ind w:left="428" w:leftChars="204" w:right="-185" w:rightChars="-88" w:firstLine="840" w:firstLineChars="400"/>
        <w:rPr>
          <w:rFonts w:ascii="Arial" w:hAnsi="Arial" w:cs="Arial"/>
        </w:rPr>
      </w:pPr>
      <w:r>
        <w:rPr>
          <w:rFonts w:ascii="Arial" w:hAnsi="Arial" w:cs="Arial"/>
        </w:rPr>
        <w:t>3）检测工作方法程序及措施；</w:t>
      </w:r>
    </w:p>
    <w:p>
      <w:pPr>
        <w:adjustRightInd w:val="0"/>
        <w:snapToGrid w:val="0"/>
        <w:spacing w:line="360" w:lineRule="auto"/>
        <w:ind w:left="428" w:leftChars="204" w:right="-185" w:rightChars="-88" w:firstLine="840" w:firstLineChars="400"/>
        <w:rPr>
          <w:rFonts w:ascii="Arial" w:hAnsi="Arial" w:cs="Arial"/>
          <w:b/>
          <w:szCs w:val="22"/>
        </w:rPr>
      </w:pPr>
      <w:r>
        <w:rPr>
          <w:rFonts w:ascii="Arial" w:hAnsi="Arial" w:cs="Arial"/>
        </w:rPr>
        <w:t>4）进度计划安排；</w:t>
      </w:r>
    </w:p>
    <w:p>
      <w:pPr>
        <w:adjustRightInd w:val="0"/>
        <w:snapToGrid w:val="0"/>
        <w:spacing w:line="360" w:lineRule="auto"/>
        <w:rPr>
          <w:rFonts w:ascii="Arial" w:hAnsi="Arial" w:cs="Arial"/>
        </w:rPr>
      </w:pPr>
    </w:p>
    <w:p>
      <w:pPr>
        <w:adjustRightInd w:val="0"/>
        <w:snapToGrid w:val="0"/>
        <w:spacing w:line="360" w:lineRule="auto"/>
        <w:rPr>
          <w:rFonts w:ascii="Arial" w:hAnsi="Arial" w:cs="Arial"/>
        </w:rPr>
      </w:pPr>
      <w:r>
        <w:rPr>
          <w:rFonts w:ascii="Arial" w:hAnsi="Arial" w:cs="Arial"/>
        </w:rPr>
        <w:t xml:space="preserve">投标人：（盖章）       </w:t>
      </w:r>
    </w:p>
    <w:p>
      <w:pPr>
        <w:adjustRightInd w:val="0"/>
        <w:snapToGrid w:val="0"/>
        <w:spacing w:line="360" w:lineRule="auto"/>
        <w:rPr>
          <w:rFonts w:ascii="Arial" w:hAnsi="Arial" w:cs="Arial"/>
        </w:rPr>
      </w:pPr>
      <w:r>
        <w:rPr>
          <w:rFonts w:ascii="Arial" w:hAnsi="Arial" w:cs="Arial"/>
        </w:rPr>
        <w:t>法定代表人或其授权代表：（签字或盖章）</w:t>
      </w:r>
    </w:p>
    <w:p>
      <w:pPr>
        <w:rPr>
          <w:rFonts w:ascii="Arial" w:hAnsi="Arial" w:cs="Arial"/>
        </w:rPr>
      </w:pPr>
      <w:r>
        <w:rPr>
          <w:rFonts w:ascii="Arial" w:hAnsi="Arial" w:cs="Arial"/>
        </w:rPr>
        <w:t>日期：</w:t>
      </w:r>
    </w:p>
    <w:p>
      <w:pPr>
        <w:rPr>
          <w:rFonts w:ascii="仿宋" w:hAnsi="仿宋" w:eastAsia="仿宋"/>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24</w:t>
    </w:r>
    <w:r>
      <w:rPr>
        <w:lang w:val="zh-CN"/>
      </w:rPr>
      <w:fldChar w:fldCharType="end"/>
    </w:r>
  </w:p>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43A9F"/>
    <w:multiLevelType w:val="multilevel"/>
    <w:tmpl w:val="10843A9F"/>
    <w:lvl w:ilvl="0" w:tentative="0">
      <w:start w:val="1"/>
      <w:numFmt w:val="japaneseCounting"/>
      <w:lvlText w:val="%1、"/>
      <w:lvlJc w:val="left"/>
      <w:pPr>
        <w:ind w:left="945" w:hanging="48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1">
    <w:nsid w:val="335175FC"/>
    <w:multiLevelType w:val="multilevel"/>
    <w:tmpl w:val="335175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9885C1"/>
    <w:multiLevelType w:val="singleLevel"/>
    <w:tmpl w:val="5C9885C1"/>
    <w:lvl w:ilvl="0" w:tentative="0">
      <w:start w:val="1"/>
      <w:numFmt w:val="decimal"/>
      <w:suff w:val="space"/>
      <w:lvlText w:val="%1."/>
      <w:lvlJc w:val="left"/>
    </w:lvl>
  </w:abstractNum>
  <w:abstractNum w:abstractNumId="3">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23134"/>
    <w:rsid w:val="000A53A4"/>
    <w:rsid w:val="000C62F8"/>
    <w:rsid w:val="00165081"/>
    <w:rsid w:val="001750DB"/>
    <w:rsid w:val="001C4167"/>
    <w:rsid w:val="001E1E0A"/>
    <w:rsid w:val="003036A2"/>
    <w:rsid w:val="003458C6"/>
    <w:rsid w:val="00427619"/>
    <w:rsid w:val="00490CE0"/>
    <w:rsid w:val="004D592E"/>
    <w:rsid w:val="004E372A"/>
    <w:rsid w:val="006229B5"/>
    <w:rsid w:val="0070285B"/>
    <w:rsid w:val="007B0DB2"/>
    <w:rsid w:val="00833D4D"/>
    <w:rsid w:val="00840BA6"/>
    <w:rsid w:val="008A6380"/>
    <w:rsid w:val="008D6557"/>
    <w:rsid w:val="009B15C7"/>
    <w:rsid w:val="00AC4791"/>
    <w:rsid w:val="00B035A0"/>
    <w:rsid w:val="00BA2A09"/>
    <w:rsid w:val="00CA01D7"/>
    <w:rsid w:val="00CA2AFF"/>
    <w:rsid w:val="00D93491"/>
    <w:rsid w:val="00E11B21"/>
    <w:rsid w:val="00EB74CE"/>
    <w:rsid w:val="03006B0B"/>
    <w:rsid w:val="053573F9"/>
    <w:rsid w:val="05F619A1"/>
    <w:rsid w:val="0FC31E85"/>
    <w:rsid w:val="10B0303E"/>
    <w:rsid w:val="16B638F3"/>
    <w:rsid w:val="1C48188B"/>
    <w:rsid w:val="1E4203F7"/>
    <w:rsid w:val="1F7A065F"/>
    <w:rsid w:val="22856F01"/>
    <w:rsid w:val="23F301CE"/>
    <w:rsid w:val="242B7D50"/>
    <w:rsid w:val="28D0736C"/>
    <w:rsid w:val="2E315191"/>
    <w:rsid w:val="2EB336F7"/>
    <w:rsid w:val="335D386F"/>
    <w:rsid w:val="34C82F8A"/>
    <w:rsid w:val="35786281"/>
    <w:rsid w:val="362C23BC"/>
    <w:rsid w:val="36ED15AA"/>
    <w:rsid w:val="396C6281"/>
    <w:rsid w:val="399C4894"/>
    <w:rsid w:val="3A6B0127"/>
    <w:rsid w:val="3BDC3077"/>
    <w:rsid w:val="3E2A18B9"/>
    <w:rsid w:val="40C70696"/>
    <w:rsid w:val="458F2CAC"/>
    <w:rsid w:val="464933D0"/>
    <w:rsid w:val="474754EB"/>
    <w:rsid w:val="4E6571AD"/>
    <w:rsid w:val="50B82B49"/>
    <w:rsid w:val="52783B58"/>
    <w:rsid w:val="548930C6"/>
    <w:rsid w:val="55277A9F"/>
    <w:rsid w:val="56A469C5"/>
    <w:rsid w:val="59582E90"/>
    <w:rsid w:val="59B221C7"/>
    <w:rsid w:val="5B8676E2"/>
    <w:rsid w:val="5EFA3FB5"/>
    <w:rsid w:val="621D1AD9"/>
    <w:rsid w:val="64B747F7"/>
    <w:rsid w:val="66E80EB8"/>
    <w:rsid w:val="68BF354D"/>
    <w:rsid w:val="68DE3F33"/>
    <w:rsid w:val="76CB0923"/>
    <w:rsid w:val="78715B20"/>
    <w:rsid w:val="7B8A1BFB"/>
    <w:rsid w:val="7CC60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4">
    <w:name w:val="Body Text Indent"/>
    <w:basedOn w:val="1"/>
    <w:qFormat/>
    <w:uiPriority w:val="0"/>
    <w:pPr>
      <w:spacing w:line="480" w:lineRule="auto"/>
      <w:ind w:firstLine="600"/>
    </w:pPr>
    <w:rPr>
      <w:sz w:val="28"/>
    </w:rPr>
  </w:style>
  <w:style w:type="paragraph" w:styleId="5">
    <w:name w:val="toc 3"/>
    <w:basedOn w:val="1"/>
    <w:next w:val="1"/>
    <w:qFormat/>
    <w:uiPriority w:val="39"/>
    <w:pPr>
      <w:ind w:left="210"/>
      <w:jc w:val="left"/>
    </w:pPr>
    <w:rPr>
      <w:rFonts w:ascii="等线" w:eastAsia="等线"/>
      <w:sz w:val="20"/>
    </w:r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7">
    <w:name w:val="footer"/>
    <w:basedOn w:val="1"/>
    <w:qFormat/>
    <w:uiPriority w:val="99"/>
    <w:pPr>
      <w:tabs>
        <w:tab w:val="center" w:pos="4153"/>
        <w:tab w:val="right" w:pos="8306"/>
      </w:tabs>
      <w:snapToGrid w:val="0"/>
      <w:jc w:val="left"/>
    </w:pPr>
    <w:rPr>
      <w:sz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font21"/>
    <w:basedOn w:val="10"/>
    <w:qFormat/>
    <w:uiPriority w:val="0"/>
    <w:rPr>
      <w:rFonts w:hint="eastAsia" w:ascii="宋体" w:hAnsi="宋体" w:eastAsia="宋体" w:cs="宋体"/>
      <w:color w:val="000000"/>
      <w:sz w:val="20"/>
      <w:szCs w:val="20"/>
      <w:u w:val="none"/>
    </w:rPr>
  </w:style>
  <w:style w:type="character" w:customStyle="1" w:styleId="20">
    <w:name w:val="font91"/>
    <w:basedOn w:val="10"/>
    <w:qFormat/>
    <w:uiPriority w:val="0"/>
    <w:rPr>
      <w:rFonts w:hint="default" w:ascii="Times New Roman" w:hAnsi="Times New Roman" w:cs="Times New Roman"/>
      <w:color w:val="000000"/>
      <w:sz w:val="20"/>
      <w:szCs w:val="20"/>
      <w:u w:val="none"/>
    </w:rPr>
  </w:style>
  <w:style w:type="character" w:customStyle="1" w:styleId="21">
    <w:name w:val="font81"/>
    <w:basedOn w:val="10"/>
    <w:qFormat/>
    <w:uiPriority w:val="0"/>
    <w:rPr>
      <w:rFonts w:hint="eastAsia" w:ascii="宋体" w:hAnsi="宋体" w:eastAsia="宋体" w:cs="宋体"/>
      <w:color w:val="000000"/>
      <w:sz w:val="20"/>
      <w:szCs w:val="20"/>
      <w:u w:val="none"/>
    </w:rPr>
  </w:style>
  <w:style w:type="character" w:customStyle="1" w:styleId="22">
    <w:name w:val="font41"/>
    <w:basedOn w:val="10"/>
    <w:qFormat/>
    <w:uiPriority w:val="0"/>
    <w:rPr>
      <w:rFonts w:hint="default" w:ascii="Times New Roman" w:hAnsi="Times New Roman" w:cs="Times New Roman"/>
      <w:color w:val="000000"/>
      <w:sz w:val="20"/>
      <w:szCs w:val="20"/>
      <w:u w:val="none"/>
    </w:rPr>
  </w:style>
  <w:style w:type="character" w:customStyle="1" w:styleId="23">
    <w:name w:val="font61"/>
    <w:basedOn w:val="10"/>
    <w:qFormat/>
    <w:uiPriority w:val="0"/>
    <w:rPr>
      <w:rFonts w:hint="default" w:ascii="Times New Roman" w:hAnsi="Times New Roman" w:cs="Times New Roman"/>
      <w:color w:val="000000"/>
      <w:sz w:val="20"/>
      <w:szCs w:val="20"/>
      <w:u w:val="none"/>
      <w:vertAlign w:val="subscript"/>
    </w:rPr>
  </w:style>
  <w:style w:type="character" w:customStyle="1" w:styleId="24">
    <w:name w:val="font101"/>
    <w:basedOn w:val="10"/>
    <w:qFormat/>
    <w:uiPriority w:val="0"/>
    <w:rPr>
      <w:rFonts w:hint="default" w:ascii="Times New Roman" w:hAnsi="Times New Roman" w:cs="Times New Roman"/>
      <w:color w:val="FF0000"/>
      <w:sz w:val="20"/>
      <w:szCs w:val="20"/>
      <w:u w:val="none"/>
    </w:rPr>
  </w:style>
  <w:style w:type="character" w:customStyle="1" w:styleId="25">
    <w:name w:val="font51"/>
    <w:basedOn w:val="10"/>
    <w:qFormat/>
    <w:uiPriority w:val="0"/>
    <w:rPr>
      <w:rFonts w:hint="eastAsia" w:ascii="宋体" w:hAnsi="宋体" w:eastAsia="宋体" w:cs="宋体"/>
      <w:color w:val="FF0000"/>
      <w:sz w:val="20"/>
      <w:szCs w:val="20"/>
      <w:u w:val="none"/>
    </w:rPr>
  </w:style>
  <w:style w:type="character" w:customStyle="1" w:styleId="26">
    <w:name w:val="font11"/>
    <w:basedOn w:val="10"/>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2465</Words>
  <Characters>14056</Characters>
  <Lines>117</Lines>
  <Paragraphs>32</Paragraphs>
  <TotalTime>54</TotalTime>
  <ScaleCrop>false</ScaleCrop>
  <LinksUpToDate>false</LinksUpToDate>
  <CharactersWithSpaces>16489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2020-11-15T05:36:00Z</dcterms:created>
  <dc:creator>Echo</dc:creator>
  <cp:lastModifiedBy>WPS_1616320435</cp:lastModifiedBy>
  <cp:lastPrinted>2021-01-27T01:49:00Z</cp:lastPrinted>
  <dcterms:modified xsi:type="dcterms:W3CDTF">2021-03-30T07:46:36Z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60659FFFBB2D4D07A7340CCA250377FE</vt:lpwstr>
  </property>
</Properties>
</file>