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pPr>
      <w:r>
        <w:rPr>
          <w:rFonts w:hint="eastAsia" w:cs="宋体" w:asciiTheme="minorEastAsia" w:hAnsiTheme="minorEastAsia"/>
          <w:sz w:val="48"/>
          <w:szCs w:val="48"/>
          <w:u w:val="single"/>
          <w:lang w:eastAsia="zh-CN"/>
        </w:rPr>
        <w:t>2023年临江公司标准件（紧固件）</w:t>
      </w:r>
      <w:r>
        <w:rPr>
          <w:rFonts w:hint="eastAsia" w:cs="宋体" w:asciiTheme="minorEastAsia" w:hAnsiTheme="minorEastAsia"/>
          <w:sz w:val="48"/>
          <w:szCs w:val="48"/>
          <w:u w:val="single"/>
        </w:rPr>
        <w:t>采购</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eastAsia" w:cs="宋体" w:asciiTheme="minorEastAsia" w:hAnsiTheme="minorEastAsia" w:eastAsiaTheme="minorEastAsia"/>
          <w:sz w:val="30"/>
          <w:szCs w:val="30"/>
          <w:lang w:eastAsia="zh-CN"/>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202312020</w:t>
      </w:r>
    </w:p>
    <w:p>
      <w:pPr>
        <w:spacing w:line="360" w:lineRule="auto"/>
        <w:jc w:val="center"/>
        <w:rPr>
          <w:rFonts w:cs="仿宋" w:asciiTheme="minorEastAsia" w:hAnsiTheme="minorEastAsia"/>
          <w:b/>
          <w:bCs/>
          <w:sz w:val="72"/>
          <w:szCs w:val="72"/>
        </w:rPr>
      </w:pPr>
    </w:p>
    <w:p>
      <w:pPr>
        <w:pStyle w:val="6"/>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24"/>
        </w:rPr>
      </w:pPr>
      <w:r>
        <w:rPr>
          <w:rFonts w:cs="仿宋" w:asciiTheme="minorEastAsia" w:hAnsiTheme="minorEastAsia"/>
          <w:sz w:val="32"/>
          <w:szCs w:val="32"/>
        </w:rPr>
        <w:t>2023</w:t>
      </w:r>
      <w:r>
        <w:rPr>
          <w:rFonts w:hint="eastAsia" w:cs="仿宋" w:asciiTheme="minorEastAsia" w:hAnsiTheme="minorEastAsia"/>
          <w:sz w:val="32"/>
          <w:szCs w:val="32"/>
        </w:rPr>
        <w:t>年1</w:t>
      </w:r>
      <w:r>
        <w:rPr>
          <w:rFonts w:hint="eastAsia" w:cs="仿宋" w:asciiTheme="minorEastAsia" w:hAnsiTheme="minorEastAsia"/>
          <w:sz w:val="32"/>
          <w:szCs w:val="32"/>
          <w:lang w:val="en-US" w:eastAsia="zh-CN"/>
        </w:rPr>
        <w:t>2</w:t>
      </w:r>
      <w:r>
        <w:rPr>
          <w:rFonts w:hint="eastAsia" w:cs="仿宋" w:asciiTheme="minorEastAsia" w:hAnsiTheme="minorEastAsia"/>
          <w:sz w:val="32"/>
          <w:szCs w:val="32"/>
        </w:rPr>
        <w:t>月</w:t>
      </w:r>
      <w:r>
        <w:rPr>
          <w:rFonts w:hint="eastAsia" w:cs="仿宋" w:asciiTheme="minorEastAsia" w:hAnsiTheme="minorEastAsia"/>
          <w:sz w:val="32"/>
          <w:szCs w:val="32"/>
          <w:lang w:val="en-US" w:eastAsia="zh-CN"/>
        </w:rPr>
        <w:t>14</w:t>
      </w:r>
      <w:r>
        <w:rPr>
          <w:rFonts w:hint="eastAsia" w:cs="仿宋" w:asciiTheme="minorEastAsia" w:hAnsiTheme="minorEastAsia"/>
          <w:sz w:val="32"/>
          <w:szCs w:val="32"/>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35393621"/>
      <w:bookmarkStart w:id="2" w:name="_Toc28359002"/>
      <w:bookmarkStart w:id="3" w:name="_Toc28359079"/>
      <w:bookmarkStart w:id="4" w:name="_Toc35393790"/>
      <w:bookmarkStart w:id="5" w:name="_Hlk24379207"/>
      <w:r>
        <w:rPr>
          <w:rFonts w:hint="eastAsia" w:cs="仿宋" w:asciiTheme="minorEastAsia" w:hAnsiTheme="minorEastAsia"/>
          <w:b/>
          <w:bCs/>
          <w:sz w:val="24"/>
        </w:rPr>
        <w:t>项目概况</w:t>
      </w:r>
      <w:r>
        <w:rPr>
          <w:rFonts w:cs="仿宋" w:asciiTheme="minorEastAsia" w:hAnsiTheme="minorEastAsia"/>
          <w:b/>
          <w:bCs/>
          <w:sz w:val="24"/>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2023年临江公司标准件（紧固件）</w:t>
      </w:r>
      <w:r>
        <w:rPr>
          <w:rFonts w:hint="eastAsia" w:cs="仿宋" w:asciiTheme="minorEastAsia" w:hAnsiTheme="minorEastAsia"/>
          <w:sz w:val="24"/>
          <w:u w:val="single"/>
        </w:rPr>
        <w:t>采购项目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的参加本次采购项目。</w:t>
      </w:r>
    </w:p>
    <w:p>
      <w:pPr>
        <w:pStyle w:val="3"/>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eastAsia" w:cs="仿宋" w:asciiTheme="minorEastAsia" w:hAnsiTheme="minorEastAsia" w:eastAsiaTheme="minorEastAsia"/>
          <w:sz w:val="24"/>
          <w:u w:val="single"/>
          <w:lang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202312020</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cs="仿宋" w:asciiTheme="minorEastAsia" w:hAnsiTheme="minorEastAsia"/>
          <w:sz w:val="24"/>
          <w:u w:val="single"/>
        </w:rPr>
        <w:t xml:space="preserve"> </w:t>
      </w:r>
      <w:r>
        <w:rPr>
          <w:rFonts w:hint="eastAsia" w:cs="仿宋" w:asciiTheme="minorEastAsia" w:hAnsiTheme="minorEastAsia"/>
          <w:sz w:val="24"/>
          <w:u w:val="single"/>
          <w:lang w:eastAsia="zh-CN"/>
        </w:rPr>
        <w:t>2023年临江公司标准件（紧固件）</w:t>
      </w:r>
      <w:r>
        <w:rPr>
          <w:rFonts w:hint="eastAsia" w:cs="仿宋" w:asciiTheme="minorEastAsia" w:hAnsiTheme="minorEastAsia"/>
          <w:sz w:val="24"/>
          <w:u w:val="single"/>
        </w:rPr>
        <w:t>采购</w:t>
      </w:r>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b/>
          <w:bCs/>
          <w:sz w:val="24"/>
          <w:highlight w:val="none"/>
          <w:lang w:val="en-US" w:eastAsia="zh-CN"/>
        </w:rPr>
        <w:t>6.31</w:t>
      </w:r>
      <w:r>
        <w:rPr>
          <w:rFonts w:hint="eastAsia" w:cs="仿宋" w:asciiTheme="minorEastAsia" w:hAnsiTheme="minorEastAsia"/>
          <w:sz w:val="24"/>
          <w:highlight w:val="none"/>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w:t>
      </w:r>
      <w:r>
        <w:rPr>
          <w:rFonts w:hint="eastAsia" w:hAnsi="宋体" w:cs="宋体"/>
          <w:bCs/>
          <w:sz w:val="24"/>
          <w:lang w:eastAsia="zh-CN"/>
        </w:rPr>
        <w:t>标准件（紧固件）</w:t>
      </w:r>
      <w:r>
        <w:rPr>
          <w:rFonts w:hint="eastAsia" w:hAnsi="宋体" w:cs="宋体"/>
          <w:bCs/>
          <w:sz w:val="24"/>
        </w:rPr>
        <w:t>一批。</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一次性供货结束后合同自动终止</w:t>
      </w:r>
      <w:r>
        <w:rPr>
          <w:rFonts w:hint="eastAsia" w:cs="仿宋" w:asciiTheme="minorEastAsia" w:hAnsiTheme="minorEastAsia"/>
          <w:sz w:val="24"/>
          <w:u w:val="single"/>
        </w:rPr>
        <w:t>。在采购人发出送货通知后，中标人</w:t>
      </w:r>
      <w:r>
        <w:rPr>
          <w:rFonts w:hint="eastAsia" w:cs="仿宋" w:asciiTheme="minorEastAsia" w:hAnsiTheme="minorEastAsia"/>
          <w:sz w:val="24"/>
          <w:u w:val="single"/>
          <w:lang w:eastAsia="zh-CN"/>
        </w:rPr>
        <w:t>按采购人订单按需</w:t>
      </w:r>
      <w:r>
        <w:rPr>
          <w:rFonts w:hint="eastAsia" w:cs="仿宋" w:asciiTheme="minorEastAsia" w:hAnsiTheme="minorEastAsia"/>
          <w:sz w:val="24"/>
          <w:u w:val="single"/>
        </w:rPr>
        <w:t>将货物如数送至采购人指定地点。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28359003"/>
      <w:bookmarkStart w:id="7" w:name="_Toc35393791"/>
      <w:bookmarkStart w:id="8" w:name="_Toc35393622"/>
      <w:bookmarkStart w:id="9" w:name="_Toc28359080"/>
      <w:r>
        <w:rPr>
          <w:rFonts w:hint="eastAsia" w:cs="仿宋" w:asciiTheme="minorEastAsia" w:hAnsiTheme="minorEastAsia"/>
          <w:b/>
          <w:bCs/>
          <w:sz w:val="24"/>
        </w:rPr>
        <w:t>二、供应商的资格要求：</w:t>
      </w:r>
      <w:bookmarkEnd w:id="6"/>
      <w:bookmarkEnd w:id="7"/>
      <w:bookmarkEnd w:id="8"/>
      <w:bookmarkEnd w:id="9"/>
      <w:bookmarkStart w:id="10" w:name="_Toc28359004"/>
      <w:bookmarkStart w:id="11" w:name="_Toc28359081"/>
      <w:bookmarkStart w:id="12" w:name="_Toc35393623"/>
      <w:bookmarkStart w:id="13" w:name="_Toc35393792"/>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u w:val="single"/>
        </w:rPr>
      </w:pPr>
      <w:r>
        <w:rPr>
          <w:rFonts w:hint="eastAsia" w:cs="仿宋" w:asciiTheme="minorEastAsia" w:hAnsiTheme="minorEastAsia"/>
          <w:bCs/>
          <w:sz w:val="24"/>
        </w:rPr>
        <w:t>3.业绩要求：</w:t>
      </w:r>
      <w:r>
        <w:rPr>
          <w:rFonts w:hint="eastAsia" w:cs="仿宋" w:asciiTheme="minorEastAsia" w:hAnsiTheme="minorEastAsia"/>
          <w:bCs/>
          <w:sz w:val="24"/>
          <w:u w:val="single"/>
        </w:rPr>
        <w:t xml:space="preserve"> </w:t>
      </w:r>
      <w:r>
        <w:rPr>
          <w:rFonts w:hint="eastAsia" w:cs="仿宋" w:asciiTheme="minorEastAsia" w:hAnsiTheme="minorEastAsia"/>
          <w:bCs/>
          <w:sz w:val="24"/>
          <w:u w:val="single"/>
          <w:lang w:val="en-US" w:eastAsia="zh-CN"/>
        </w:rPr>
        <w:t>/。</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w:t>
      </w:r>
      <w:r>
        <w:rPr>
          <w:rFonts w:hint="eastAsia" w:cs="仿宋" w:asciiTheme="minorEastAsia" w:hAnsiTheme="minorEastAsia"/>
          <w:bCs/>
          <w:i/>
          <w:iCs/>
          <w:sz w:val="24"/>
          <w:u w:val="single"/>
        </w:rPr>
        <w:t xml:space="preserve">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3"/>
        <w:spacing w:before="0" w:after="0" w:line="360" w:lineRule="auto"/>
        <w:ind w:firstLine="480" w:firstLineChars="200"/>
        <w:rPr>
          <w:rFonts w:cs="仿宋" w:asciiTheme="minorEastAsia" w:hAnsiTheme="minorEastAsia" w:eastAsiaTheme="minorEastAsia"/>
          <w:b w:val="0"/>
          <w:sz w:val="24"/>
          <w:szCs w:val="24"/>
        </w:rPr>
      </w:pPr>
      <w:bookmarkStart w:id="14" w:name="_Toc35393793"/>
      <w:bookmarkStart w:id="15" w:name="_Toc28359082"/>
      <w:bookmarkStart w:id="16" w:name="_Toc35393624"/>
      <w:bookmarkStart w:id="17" w:name="_Toc28359005"/>
      <w:r>
        <w:rPr>
          <w:rFonts w:hint="eastAsia" w:cs="仿宋" w:asciiTheme="minorEastAsia" w:hAnsiTheme="minorEastAsia" w:eastAsiaTheme="minorEastAsia"/>
          <w:b w:val="0"/>
          <w:sz w:val="24"/>
          <w:szCs w:val="24"/>
        </w:rPr>
        <w:t>1</w:t>
      </w:r>
      <w:r>
        <w:rPr>
          <w:rFonts w:hint="eastAsia" w:cs="仿宋" w:asciiTheme="minorEastAsia" w:hAnsiTheme="minorEastAsia" w:eastAsiaTheme="minorEastAsia"/>
          <w:b w:val="0"/>
          <w:sz w:val="24"/>
          <w:szCs w:val="24"/>
          <w:lang w:eastAsia="zh-CN"/>
        </w:rPr>
        <w:t>.</w:t>
      </w:r>
      <w:r>
        <w:rPr>
          <w:rFonts w:hint="eastAsia" w:cs="仿宋" w:asciiTheme="minorEastAsia" w:hAnsiTheme="minorEastAsia" w:eastAsiaTheme="minorEastAsia"/>
          <w:b w:val="0"/>
          <w:sz w:val="24"/>
          <w:szCs w:val="24"/>
        </w:rPr>
        <w:t xml:space="preserve">时间：报价截止时间前。   </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w:t>
      </w:r>
      <w:r>
        <w:rPr>
          <w:rFonts w:hint="eastAsia" w:cs="仿宋" w:asciiTheme="minorEastAsia" w:hAnsiTheme="minorEastAsia" w:eastAsiaTheme="minorEastAsia"/>
          <w:b w:val="0"/>
          <w:sz w:val="24"/>
          <w:szCs w:val="24"/>
          <w:lang w:val="en-US" w:eastAsia="zh-CN"/>
        </w:rPr>
        <w:t>.</w:t>
      </w:r>
      <w:r>
        <w:rPr>
          <w:rFonts w:hint="eastAsia" w:cs="仿宋" w:asciiTheme="minorEastAsia" w:hAnsiTheme="minorEastAsia" w:eastAsiaTheme="minorEastAsia"/>
          <w:b w:val="0"/>
          <w:sz w:val="24"/>
          <w:szCs w:val="24"/>
        </w:rPr>
        <w:t>地点（网址）：杭州临江环境能源有限公司网站（https://www.ljhjny.com/notice.html）。</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2023年</w:t>
      </w:r>
      <w:r>
        <w:rPr>
          <w:rFonts w:hint="eastAsia" w:cs="仿宋" w:asciiTheme="minorEastAsia" w:hAnsiTheme="minorEastAsia"/>
          <w:sz w:val="24"/>
          <w:u w:val="single"/>
          <w:lang w:val="en-US" w:eastAsia="zh-CN"/>
        </w:rPr>
        <w:t>12</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22</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13</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w:t>
      </w:r>
      <w:r>
        <w:rPr>
          <w:rFonts w:hint="eastAsia" w:cs="仿宋" w:asciiTheme="minorEastAsia" w:hAnsiTheme="minorEastAsia"/>
          <w:bCs/>
          <w:sz w:val="24"/>
          <w:u w:val="single"/>
        </w:rPr>
        <w:t xml:space="preserve"> 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rPr>
        <w:t>2023年</w:t>
      </w:r>
      <w:r>
        <w:rPr>
          <w:rFonts w:hint="eastAsia" w:cs="仿宋" w:asciiTheme="minorEastAsia" w:hAnsiTheme="minorEastAsia"/>
          <w:sz w:val="24"/>
          <w:u w:val="single"/>
          <w:lang w:val="en-US" w:eastAsia="zh-CN"/>
        </w:rPr>
        <w:t xml:space="preserve"> 12</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22</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13</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w:t>
      </w:r>
      <w:r>
        <w:rPr>
          <w:rFonts w:hint="eastAsia" w:cs="仿宋" w:asciiTheme="minorEastAsia" w:hAnsiTheme="minorEastAsia"/>
          <w:bCs/>
          <w:sz w:val="24"/>
          <w:u w:val="single"/>
        </w:rPr>
        <w:t xml:space="preserve"> 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9:</w:t>
      </w:r>
      <w:r>
        <w:rPr>
          <w:rFonts w:hint="eastAsia" w:cs="仿宋" w:asciiTheme="minorEastAsia" w:hAnsiTheme="minorEastAsia"/>
          <w:sz w:val="24"/>
          <w:lang w:val="en-US" w:eastAsia="zh-CN"/>
        </w:rPr>
        <w:t>3</w:t>
      </w:r>
      <w:r>
        <w:rPr>
          <w:rFonts w:hint="eastAsia" w:cs="仿宋" w:asciiTheme="minorEastAsia" w:hAnsiTheme="minorEastAsia"/>
          <w:sz w:val="24"/>
        </w:rPr>
        <w:t>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提出质疑，同时联系经本项目采购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val="en-US" w:eastAsia="zh-CN"/>
        </w:rPr>
        <w:t>叶工</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rPr>
        <w:t xml:space="preserve"> 联系电话：</w:t>
      </w:r>
      <w:r>
        <w:rPr>
          <w:rFonts w:hint="eastAsia" w:cs="仿宋" w:asciiTheme="minorEastAsia" w:hAnsiTheme="minorEastAsia"/>
          <w:sz w:val="24"/>
          <w:lang w:val="en-US" w:eastAsia="zh-CN"/>
        </w:rPr>
        <w:t>18458245764</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3840" w:firstLineChars="16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320" w:firstLineChars="1800"/>
        <w:rPr>
          <w:rFonts w:cs="仿宋" w:asciiTheme="minorEastAsia" w:hAnsiTheme="minorEastAsia"/>
          <w:b/>
          <w:bCs/>
          <w:sz w:val="24"/>
        </w:rPr>
      </w:pPr>
      <w:r>
        <w:rPr>
          <w:rFonts w:hint="eastAsia" w:cs="仿宋" w:asciiTheme="minorEastAsia" w:hAnsiTheme="minorEastAsia"/>
          <w:sz w:val="24"/>
        </w:rPr>
        <w:t>2023</w:t>
      </w:r>
      <w:r>
        <w:rPr>
          <w:rFonts w:cs="仿宋" w:asciiTheme="minorEastAsia" w:hAnsiTheme="minorEastAsia"/>
          <w:sz w:val="24"/>
        </w:rPr>
        <w:t>年</w:t>
      </w:r>
      <w:r>
        <w:rPr>
          <w:rFonts w:hint="eastAsia" w:cs="仿宋" w:asciiTheme="minorEastAsia" w:hAnsiTheme="minorEastAsia"/>
          <w:sz w:val="24"/>
          <w:lang w:val="en-US" w:eastAsia="zh-CN"/>
        </w:rPr>
        <w:t>12</w:t>
      </w:r>
      <w:r>
        <w:rPr>
          <w:rFonts w:hint="eastAsia" w:cs="仿宋" w:asciiTheme="minorEastAsia" w:hAnsiTheme="minorEastAsia"/>
          <w:sz w:val="24"/>
        </w:rPr>
        <w:t>月</w:t>
      </w:r>
      <w:r>
        <w:rPr>
          <w:rFonts w:hint="eastAsia" w:cs="仿宋" w:asciiTheme="minorEastAsia" w:hAnsiTheme="minorEastAsia"/>
          <w:sz w:val="24"/>
          <w:lang w:val="en-US" w:eastAsia="zh-CN"/>
        </w:rPr>
        <w:t>14</w:t>
      </w:r>
      <w:bookmarkStart w:id="517" w:name="_GoBack"/>
      <w:bookmarkEnd w:id="517"/>
      <w:r>
        <w:rPr>
          <w:rFonts w:hint="eastAsia" w:cs="仿宋" w:asciiTheme="minorEastAsia" w:hAnsiTheme="minorEastAsia"/>
          <w:sz w:val="24"/>
        </w:rPr>
        <w:t>日</w:t>
      </w:r>
    </w:p>
    <w:p>
      <w:pPr>
        <w:spacing w:line="460" w:lineRule="exact"/>
        <w:jc w:val="both"/>
        <w:rPr>
          <w:rFonts w:cs="仿宋" w:asciiTheme="minorEastAsia" w:hAnsiTheme="minorEastAsia"/>
          <w:b/>
          <w:bCs/>
          <w:sz w:val="36"/>
          <w:szCs w:val="36"/>
        </w:rPr>
      </w:pPr>
    </w:p>
    <w:p>
      <w:pPr>
        <w:pStyle w:val="2"/>
        <w:rPr>
          <w:rFonts w:cs="仿宋" w:asciiTheme="minorEastAsia" w:hAnsiTheme="minorEastAsia"/>
          <w:b/>
          <w:bCs/>
          <w:sz w:val="36"/>
          <w:szCs w:val="36"/>
        </w:rPr>
      </w:pPr>
    </w:p>
    <w:p>
      <w:pPr>
        <w:rPr>
          <w:rFonts w:cs="仿宋" w:asciiTheme="minorEastAsia" w:hAnsiTheme="minorEastAsia"/>
          <w:b/>
          <w:bCs/>
          <w:sz w:val="36"/>
          <w:szCs w:val="36"/>
        </w:rPr>
      </w:pPr>
    </w:p>
    <w:p>
      <w:pPr>
        <w:pStyle w:val="2"/>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4"/>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7"/>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7"/>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ascii="宋体" w:hAnsi="宋体" w:eastAsia="宋体" w:cs="宋体"/>
                <w:b/>
                <w:bCs/>
                <w:szCs w:val="21"/>
                <w:u w:val="single"/>
              </w:rPr>
              <w:t xml:space="preserve"> </w:t>
            </w:r>
            <w:r>
              <w:rPr>
                <w:rFonts w:hint="eastAsia" w:ascii="宋体" w:hAnsi="宋体" w:eastAsia="宋体" w:cs="宋体"/>
                <w:b/>
                <w:bCs/>
                <w:szCs w:val="21"/>
                <w:u w:val="single"/>
                <w:lang w:val="en-US" w:eastAsia="zh-CN"/>
              </w:rPr>
              <w:t xml:space="preserve">/ </w:t>
            </w:r>
            <w:r>
              <w:rPr>
                <w:rFonts w:hint="eastAsia" w:ascii="宋体" w:hAnsi="宋体" w:eastAsia="宋体" w:cs="宋体"/>
                <w:b/>
                <w:bCs/>
                <w:szCs w:val="21"/>
              </w:rPr>
              <w:t>询价保证金</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19"/>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19"/>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履约保证金有效期限：履约保证金将在本项目合同到期或终止后，扣除中标人应承担的违约金、损失赔偿金等款项后经中标人申请30个工作日后无息退还。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是否分册装订：</w:t>
            </w:r>
          </w:p>
          <w:p>
            <w:pPr>
              <w:pStyle w:val="17"/>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7"/>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7"/>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6"/>
        <w:rPr>
          <w:rFonts w:cs="仿宋" w:asciiTheme="minorEastAsia" w:hAnsiTheme="minorEastAsia"/>
          <w:b/>
          <w:sz w:val="32"/>
          <w:szCs w:val="20"/>
        </w:rPr>
      </w:pPr>
    </w:p>
    <w:p>
      <w:pPr>
        <w:pStyle w:val="7"/>
        <w:rPr>
          <w:rFonts w:cs="仿宋" w:asciiTheme="minorEastAsia" w:hAnsiTheme="minorEastAsia"/>
          <w:b/>
          <w:sz w:val="32"/>
        </w:rPr>
      </w:pPr>
    </w:p>
    <w:p>
      <w:pPr>
        <w:pStyle w:val="8"/>
        <w:rPr>
          <w:rFonts w:cs="仿宋" w:asciiTheme="minorEastAsia" w:hAnsiTheme="minorEastAsia"/>
          <w:b/>
          <w:sz w:val="32"/>
        </w:rPr>
      </w:pPr>
    </w:p>
    <w:p>
      <w:pPr>
        <w:rPr>
          <w:rFonts w:cs="仿宋" w:asciiTheme="minorEastAsia" w:hAnsiTheme="minorEastAsia"/>
          <w:b/>
          <w:sz w:val="32"/>
        </w:rPr>
      </w:pPr>
    </w:p>
    <w:p>
      <w:pPr>
        <w:pStyle w:val="2"/>
      </w:pPr>
    </w:p>
    <w:p/>
    <w:p>
      <w:pPr>
        <w:pStyle w:val="2"/>
      </w:pP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“中标人”系指是指经采购人确定的本项目供应商。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0"/>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0"/>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6"/>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6.响应截至前答疑会或现场考察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0"/>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0"/>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0"/>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0"/>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0"/>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0"/>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0"/>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0"/>
        <w:spacing w:before="0"/>
        <w:ind w:firstLine="0" w:firstLineChars="0"/>
        <w:jc w:val="center"/>
        <w:rPr>
          <w:rFonts w:cs="仿宋" w:asciiTheme="minorEastAsia" w:hAnsiTheme="minorEastAsia"/>
          <w:b/>
          <w:sz w:val="32"/>
        </w:rPr>
      </w:pPr>
    </w:p>
    <w:p>
      <w:pPr>
        <w:pStyle w:val="20"/>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1"/>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1"/>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1"/>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0"/>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0"/>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0"/>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0"/>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0"/>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0"/>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0"/>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0"/>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6"/>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供应商的询价保证金将在采购人与中标人签订合同并按要求缴纳履约保证金后全额无息退还。退保证金前，供应商必须提供加盖公章或财务专用章的收款收据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cs="仿宋" w:asciiTheme="minorEastAsia" w:hAnsiTheme="minorEastAsia"/>
          <w:kern w:val="0"/>
          <w:sz w:val="24"/>
        </w:rPr>
      </w:pPr>
    </w:p>
    <w:p>
      <w:pPr>
        <w:pStyle w:val="6"/>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6"/>
        <w:ind w:firstLine="480" w:firstLineChars="200"/>
        <w:rPr>
          <w:rFonts w:hint="default" w:eastAsiaTheme="minorEastAsia"/>
          <w:lang w:val="en-US" w:eastAsia="zh-CN"/>
        </w:rPr>
      </w:pPr>
      <w:r>
        <w:rPr>
          <w:rFonts w:hint="eastAsia"/>
          <w:lang w:val="en-US"/>
        </w:rPr>
        <w:t>杭州临江环境能源有限公司因日常生产需要，需采购</w:t>
      </w:r>
      <w:r>
        <w:rPr>
          <w:rFonts w:hint="eastAsia"/>
          <w:lang w:val="en-US" w:eastAsia="zh-CN"/>
        </w:rPr>
        <w:t>标准件（紧固件）</w:t>
      </w:r>
      <w:r>
        <w:rPr>
          <w:rFonts w:hint="eastAsia"/>
          <w:lang w:val="en-US"/>
        </w:rPr>
        <w:t>一批，具体</w:t>
      </w:r>
      <w:r>
        <w:rPr>
          <w:rFonts w:hint="eastAsia"/>
          <w:lang w:val="en-US" w:eastAsia="zh-CN"/>
        </w:rPr>
        <w:t>报价明细表。</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6"/>
        <w:ind w:firstLine="480" w:firstLineChars="200"/>
        <w:rPr>
          <w:lang w:val="en-US"/>
        </w:rPr>
      </w:pPr>
      <w:r>
        <w:rPr>
          <w:rFonts w:hint="eastAsia"/>
          <w:lang w:val="en-US"/>
        </w:rPr>
        <w:t>1.合同期限：</w:t>
      </w:r>
      <w:r>
        <w:rPr>
          <w:rFonts w:hint="eastAsia"/>
          <w:lang w:val="en-US" w:eastAsia="zh-CN"/>
        </w:rPr>
        <w:t>一次性供货结束后合同自动终止</w:t>
      </w:r>
      <w:r>
        <w:rPr>
          <w:rFonts w:hint="eastAsia"/>
          <w:lang w:val="en-US"/>
        </w:rPr>
        <w:t>；</w:t>
      </w:r>
    </w:p>
    <w:p>
      <w:pPr>
        <w:pStyle w:val="6"/>
        <w:ind w:firstLine="480" w:firstLineChars="200"/>
        <w:rPr>
          <w:lang w:val="en-US"/>
        </w:rPr>
      </w:pPr>
      <w:r>
        <w:rPr>
          <w:rFonts w:hint="eastAsia"/>
          <w:lang w:val="en-US"/>
        </w:rPr>
        <w:t>2.履约方式：</w:t>
      </w:r>
      <w:r>
        <w:rPr>
          <w:rFonts w:hint="eastAsia"/>
          <w:lang w:val="en-US" w:eastAsia="zh-CN"/>
        </w:rPr>
        <w:t>按采购人订单按需</w:t>
      </w:r>
      <w:r>
        <w:rPr>
          <w:rFonts w:hint="eastAsia"/>
          <w:lang w:val="en-US"/>
        </w:rPr>
        <w:t>交付。</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6"/>
        <w:ind w:firstLine="480" w:firstLineChars="200"/>
        <w:rPr>
          <w:rFonts w:hint="eastAsia" w:ascii="宋体"/>
          <w:lang w:val="en-US" w:eastAsia="zh-CN"/>
        </w:rPr>
      </w:pPr>
      <w:r>
        <w:rPr>
          <w:rFonts w:hint="eastAsia" w:ascii="宋体"/>
          <w:lang w:val="en-US" w:eastAsia="zh-CN"/>
        </w:rPr>
        <w:t>1.中标人提供的</w:t>
      </w:r>
      <w:r>
        <w:rPr>
          <w:rFonts w:hint="eastAsia"/>
          <w:lang w:val="en-US" w:eastAsia="zh-CN"/>
        </w:rPr>
        <w:t>标准件（紧固件）</w:t>
      </w:r>
      <w:r>
        <w:rPr>
          <w:rFonts w:hint="eastAsia" w:ascii="宋体"/>
          <w:lang w:val="en-US" w:eastAsia="zh-CN"/>
        </w:rPr>
        <w:t>生产日期必须为6个月内；</w:t>
      </w:r>
    </w:p>
    <w:p>
      <w:pPr>
        <w:pStyle w:val="6"/>
        <w:ind w:firstLine="480" w:firstLineChars="200"/>
        <w:rPr>
          <w:rFonts w:hint="eastAsia" w:ascii="宋体"/>
          <w:lang w:val="en-US" w:eastAsia="zh-CN"/>
        </w:rPr>
      </w:pPr>
      <w:r>
        <w:rPr>
          <w:rFonts w:hint="eastAsia" w:ascii="宋体"/>
          <w:lang w:val="en-US" w:eastAsia="zh-CN"/>
        </w:rPr>
        <w:t>2.中标人提供的</w:t>
      </w:r>
      <w:r>
        <w:rPr>
          <w:rFonts w:hint="eastAsia"/>
          <w:lang w:val="en-US" w:eastAsia="zh-CN"/>
        </w:rPr>
        <w:t>标准件（紧固件）</w:t>
      </w:r>
      <w:r>
        <w:rPr>
          <w:rFonts w:hint="eastAsia" w:ascii="宋体"/>
          <w:lang w:val="en-US" w:eastAsia="zh-CN"/>
        </w:rPr>
        <w:t>必须为原厂正品，</w:t>
      </w:r>
      <w:r>
        <w:rPr>
          <w:rFonts w:hint="eastAsia"/>
          <w:lang w:val="en-US" w:eastAsia="zh-CN"/>
        </w:rPr>
        <w:t>满足国标等级要求，</w:t>
      </w:r>
      <w:r>
        <w:rPr>
          <w:rFonts w:hint="eastAsia" w:ascii="宋体"/>
          <w:lang w:val="en-US" w:eastAsia="zh-CN"/>
        </w:rPr>
        <w:t>不得为假冒伪劣产品。</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6"/>
        <w:ind w:firstLine="480" w:firstLineChars="200"/>
        <w:rPr>
          <w:lang w:val="en-US"/>
        </w:rPr>
      </w:pPr>
      <w:r>
        <w:rPr>
          <w:rFonts w:hint="eastAsia"/>
          <w:lang w:val="en-US"/>
        </w:rPr>
        <w:t>1.中标人须提供该批次货物出厂检验合格报告或合格证和送货单，配合采购人做好货物的到货数量验收工作，将货物运达采购人指定交货地点后及时书面通知采购人。</w:t>
      </w:r>
    </w:p>
    <w:p>
      <w:pPr>
        <w:pStyle w:val="6"/>
        <w:ind w:firstLine="480" w:firstLineChars="200"/>
        <w:rPr>
          <w:lang w:val="en-US"/>
        </w:rPr>
      </w:pPr>
      <w:r>
        <w:rPr>
          <w:rFonts w:hint="eastAsia"/>
          <w:lang w:val="en-US"/>
        </w:rPr>
        <w:t>2.双方指定人员现场确认送货数量并由双方签字确认。</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6"/>
        <w:ind w:firstLine="480" w:firstLineChars="200"/>
        <w:rPr>
          <w:lang w:val="en-US"/>
        </w:rPr>
      </w:pPr>
      <w:r>
        <w:rPr>
          <w:rFonts w:hint="eastAsia"/>
          <w:lang w:val="en-US"/>
        </w:rPr>
        <w:t>根据采购人计划，确定送货数量要求，</w:t>
      </w:r>
      <w:r>
        <w:rPr>
          <w:rFonts w:hint="eastAsia"/>
          <w:lang w:val="en-US" w:eastAsia="zh-CN"/>
        </w:rPr>
        <w:t>一次性供货</w:t>
      </w:r>
      <w:r>
        <w:rPr>
          <w:rFonts w:hint="eastAsia"/>
          <w:lang w:val="en-US"/>
        </w:rPr>
        <w:t>，中标人负责在接到采购人电话或书面通知后在</w:t>
      </w:r>
      <w:r>
        <w:rPr>
          <w:rFonts w:hint="eastAsia"/>
          <w:lang w:val="en-US" w:eastAsia="zh-CN"/>
        </w:rPr>
        <w:t>15日内</w:t>
      </w:r>
      <w:r>
        <w:rPr>
          <w:rFonts w:hint="eastAsia"/>
          <w:lang w:val="en-US"/>
        </w:rPr>
        <w:t>完成供货。中标人负责卸货，人工费由中标人承担，采购人可免费提供叉车服务。</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7"/>
        <w:ind w:firstLine="480" w:firstLineChars="200"/>
        <w:rPr>
          <w:lang w:val="en-US"/>
        </w:rPr>
      </w:pPr>
      <w:r>
        <w:rPr>
          <w:rFonts w:hint="eastAsia"/>
          <w:lang w:val="en-US"/>
        </w:rPr>
        <w:t>以本询价采购文件中的合同条款为准。</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6"/>
        <w:ind w:firstLine="480" w:firstLineChars="200"/>
        <w:rPr>
          <w:lang w:val="en-US"/>
        </w:rPr>
      </w:pPr>
      <w:r>
        <w:rPr>
          <w:rFonts w:hint="eastAsia"/>
          <w:lang w:val="en-US"/>
        </w:rPr>
        <w:t>1.中标人必须满足采购人售后服务要求。如使用过程发生问题，中标人须在接到采购人通知后必须4小时内赶到现场进行处理，12小时内做出书面答复并提供解决方案。若需要派遣技术人员，则应在接到采购人通知后,24小时内派人员到达现场进行免费指导解决问题。</w:t>
      </w:r>
    </w:p>
    <w:p>
      <w:pPr>
        <w:pStyle w:val="6"/>
        <w:ind w:firstLine="480" w:firstLineChars="200"/>
        <w:rPr>
          <w:lang w:val="en-US"/>
        </w:rPr>
      </w:pPr>
      <w:r>
        <w:rPr>
          <w:rFonts w:hint="eastAsia"/>
          <w:lang w:val="en-US"/>
        </w:rPr>
        <w:t>2.采购人不再对任何售后服务进行付费。中标人的派遣人员产生的一切费用由供应商承担。</w:t>
      </w:r>
    </w:p>
    <w:p>
      <w:pPr>
        <w:pStyle w:val="6"/>
        <w:ind w:firstLine="480" w:firstLineChars="200"/>
        <w:rPr>
          <w:lang w:val="en-US"/>
        </w:rPr>
      </w:pPr>
      <w:r>
        <w:rPr>
          <w:rFonts w:hint="eastAsia"/>
          <w:lang w:val="en-US"/>
        </w:rPr>
        <w:t>3.在</w:t>
      </w:r>
      <w:r>
        <w:rPr>
          <w:rFonts w:hint="eastAsia"/>
          <w:lang w:val="en-US" w:eastAsia="zh-CN"/>
        </w:rPr>
        <w:t>设备</w:t>
      </w:r>
      <w:r>
        <w:rPr>
          <w:rFonts w:hint="eastAsia"/>
          <w:lang w:val="en-US"/>
        </w:rPr>
        <w:t>使用过程中，</w:t>
      </w:r>
      <w:r>
        <w:rPr>
          <w:rFonts w:hint="eastAsia"/>
          <w:lang w:val="en-US" w:eastAsia="zh-CN"/>
        </w:rPr>
        <w:t>因产品质量问题</w:t>
      </w:r>
      <w:r>
        <w:rPr>
          <w:rFonts w:hint="eastAsia"/>
          <w:lang w:val="en-US"/>
        </w:rPr>
        <w:t>给他机械设备造成故障或货物损坏，由中标人承担采购人的一切损失，包括直接和间接损失。</w:t>
      </w:r>
    </w:p>
    <w:p>
      <w:pPr>
        <w:spacing w:line="460" w:lineRule="exact"/>
        <w:jc w:val="both"/>
        <w:rPr>
          <w:rFonts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13261"/>
      <w:bookmarkEnd w:id="19"/>
      <w:bookmarkStart w:id="20" w:name="_Toc184314455"/>
      <w:bookmarkEnd w:id="20"/>
      <w:bookmarkStart w:id="21" w:name="_Toc184308090"/>
      <w:bookmarkEnd w:id="21"/>
      <w:bookmarkStart w:id="22" w:name="_Toc184312067"/>
      <w:bookmarkEnd w:id="22"/>
      <w:bookmarkStart w:id="23" w:name="_Toc184310326"/>
      <w:bookmarkEnd w:id="23"/>
      <w:bookmarkStart w:id="24" w:name="_Toc184314469"/>
      <w:bookmarkEnd w:id="24"/>
      <w:bookmarkStart w:id="25" w:name="_Toc184310334"/>
      <w:bookmarkEnd w:id="25"/>
      <w:bookmarkStart w:id="26" w:name="_Toc184308043"/>
      <w:bookmarkEnd w:id="26"/>
      <w:bookmarkStart w:id="27" w:name="_Toc184313291"/>
      <w:bookmarkEnd w:id="27"/>
      <w:bookmarkStart w:id="28" w:name="_Toc184313293"/>
      <w:bookmarkEnd w:id="28"/>
      <w:bookmarkStart w:id="29" w:name="_Toc184310328"/>
      <w:bookmarkEnd w:id="29"/>
      <w:bookmarkStart w:id="30" w:name="_Toc184310292"/>
      <w:bookmarkEnd w:id="30"/>
      <w:bookmarkStart w:id="31" w:name="_Toc184308050"/>
      <w:bookmarkEnd w:id="31"/>
      <w:bookmarkStart w:id="32" w:name="_Toc184310336"/>
      <w:bookmarkEnd w:id="32"/>
      <w:bookmarkStart w:id="33" w:name="_Toc184313301"/>
      <w:bookmarkEnd w:id="33"/>
      <w:bookmarkStart w:id="34" w:name="_Toc184314431"/>
      <w:bookmarkEnd w:id="34"/>
      <w:bookmarkStart w:id="35" w:name="_Toc184314421"/>
      <w:bookmarkEnd w:id="35"/>
      <w:bookmarkStart w:id="36" w:name="_Toc184310331"/>
      <w:bookmarkEnd w:id="36"/>
      <w:bookmarkStart w:id="37" w:name="_Toc184312077"/>
      <w:bookmarkEnd w:id="37"/>
      <w:bookmarkStart w:id="38" w:name="_Toc184312114"/>
      <w:bookmarkEnd w:id="38"/>
      <w:bookmarkStart w:id="39" w:name="_Toc184313296"/>
      <w:bookmarkEnd w:id="39"/>
      <w:bookmarkStart w:id="40" w:name="_Toc184314419"/>
      <w:bookmarkEnd w:id="40"/>
      <w:bookmarkStart w:id="41" w:name="_Toc184314461"/>
      <w:bookmarkEnd w:id="41"/>
      <w:bookmarkStart w:id="42" w:name="_Toc184308041"/>
      <w:bookmarkEnd w:id="42"/>
      <w:bookmarkStart w:id="43" w:name="_Toc184314429"/>
      <w:bookmarkEnd w:id="43"/>
      <w:bookmarkStart w:id="44" w:name="_Toc184308038"/>
      <w:bookmarkEnd w:id="44"/>
      <w:bookmarkStart w:id="45" w:name="_Toc184308081"/>
      <w:bookmarkEnd w:id="45"/>
      <w:bookmarkStart w:id="46" w:name="_Toc184310279"/>
      <w:bookmarkEnd w:id="46"/>
      <w:bookmarkStart w:id="47" w:name="_Toc184308052"/>
      <w:bookmarkEnd w:id="47"/>
      <w:bookmarkStart w:id="48" w:name="_Toc184314410"/>
      <w:bookmarkEnd w:id="48"/>
      <w:bookmarkStart w:id="49" w:name="_Toc184314434"/>
      <w:bookmarkEnd w:id="49"/>
      <w:bookmarkStart w:id="50" w:name="_Toc184310286"/>
      <w:bookmarkEnd w:id="50"/>
      <w:bookmarkStart w:id="51" w:name="_Toc184308059"/>
      <w:bookmarkEnd w:id="51"/>
      <w:bookmarkStart w:id="52" w:name="_Toc184310330"/>
      <w:bookmarkEnd w:id="52"/>
      <w:bookmarkStart w:id="53" w:name="_Toc184312094"/>
      <w:bookmarkEnd w:id="53"/>
      <w:bookmarkStart w:id="54" w:name="_Toc184310277"/>
      <w:bookmarkEnd w:id="54"/>
      <w:bookmarkStart w:id="55" w:name="_Toc184313289"/>
      <w:bookmarkEnd w:id="55"/>
      <w:bookmarkStart w:id="56" w:name="_Toc184308079"/>
      <w:bookmarkEnd w:id="56"/>
      <w:bookmarkStart w:id="57" w:name="_Toc184312107"/>
      <w:bookmarkEnd w:id="57"/>
      <w:bookmarkStart w:id="58" w:name="_Toc184313275"/>
      <w:bookmarkEnd w:id="58"/>
      <w:bookmarkStart w:id="59" w:name="_Toc184310285"/>
      <w:bookmarkEnd w:id="59"/>
      <w:bookmarkStart w:id="60" w:name="_Toc184308091"/>
      <w:bookmarkEnd w:id="60"/>
      <w:bookmarkStart w:id="61" w:name="_Toc184313264"/>
      <w:bookmarkEnd w:id="61"/>
      <w:bookmarkStart w:id="62" w:name="_Toc184312099"/>
      <w:bookmarkEnd w:id="62"/>
      <w:bookmarkStart w:id="63" w:name="_Toc184310291"/>
      <w:bookmarkEnd w:id="63"/>
      <w:bookmarkStart w:id="64" w:name="_Toc184312080"/>
      <w:bookmarkEnd w:id="64"/>
      <w:bookmarkStart w:id="65" w:name="_Toc184314437"/>
      <w:bookmarkEnd w:id="65"/>
      <w:bookmarkStart w:id="66" w:name="_Toc184313295"/>
      <w:bookmarkEnd w:id="66"/>
      <w:bookmarkStart w:id="67" w:name="_Toc184308095"/>
      <w:bookmarkEnd w:id="67"/>
      <w:bookmarkStart w:id="68" w:name="_Toc184313265"/>
      <w:bookmarkEnd w:id="68"/>
      <w:bookmarkStart w:id="69" w:name="_Toc184308082"/>
      <w:bookmarkEnd w:id="69"/>
      <w:bookmarkStart w:id="70" w:name="_Toc184312096"/>
      <w:bookmarkEnd w:id="70"/>
      <w:bookmarkStart w:id="71" w:name="_Toc184314439"/>
      <w:bookmarkEnd w:id="71"/>
      <w:bookmarkStart w:id="72" w:name="_Toc184308063"/>
      <w:bookmarkEnd w:id="72"/>
      <w:bookmarkStart w:id="73" w:name="_Toc184312069"/>
      <w:bookmarkEnd w:id="73"/>
      <w:bookmarkStart w:id="74" w:name="_Toc184310287"/>
      <w:bookmarkEnd w:id="74"/>
      <w:bookmarkStart w:id="75" w:name="_Toc184310310"/>
      <w:bookmarkEnd w:id="75"/>
      <w:bookmarkStart w:id="76" w:name="_Toc184310278"/>
      <w:bookmarkEnd w:id="76"/>
      <w:bookmarkStart w:id="77" w:name="_Toc184310276"/>
      <w:bookmarkEnd w:id="77"/>
      <w:bookmarkStart w:id="78" w:name="_Toc184314415"/>
      <w:bookmarkEnd w:id="78"/>
      <w:bookmarkStart w:id="79" w:name="_Toc184312137"/>
      <w:bookmarkEnd w:id="79"/>
      <w:bookmarkStart w:id="80" w:name="_Toc184310344"/>
      <w:bookmarkEnd w:id="80"/>
      <w:bookmarkStart w:id="81" w:name="_Toc184313284"/>
      <w:bookmarkEnd w:id="81"/>
      <w:bookmarkStart w:id="82" w:name="_Toc184314466"/>
      <w:bookmarkEnd w:id="82"/>
      <w:bookmarkStart w:id="83" w:name="_Toc184313281"/>
      <w:bookmarkEnd w:id="83"/>
      <w:bookmarkStart w:id="84" w:name="_Toc184313242"/>
      <w:bookmarkEnd w:id="84"/>
      <w:bookmarkStart w:id="85" w:name="_Toc184312070"/>
      <w:bookmarkEnd w:id="85"/>
      <w:bookmarkStart w:id="86" w:name="_Toc184308072"/>
      <w:bookmarkEnd w:id="86"/>
      <w:bookmarkStart w:id="87" w:name="_Toc184308066"/>
      <w:bookmarkEnd w:id="87"/>
      <w:bookmarkStart w:id="88" w:name="_Toc184314459"/>
      <w:bookmarkEnd w:id="88"/>
      <w:bookmarkStart w:id="89" w:name="_Toc184312082"/>
      <w:bookmarkEnd w:id="89"/>
      <w:bookmarkStart w:id="90" w:name="_Toc184313272"/>
      <w:bookmarkEnd w:id="90"/>
      <w:bookmarkStart w:id="91" w:name="_Toc184312071"/>
      <w:bookmarkEnd w:id="91"/>
      <w:bookmarkStart w:id="92" w:name="_Toc184313241"/>
      <w:bookmarkEnd w:id="92"/>
      <w:bookmarkStart w:id="93" w:name="_Toc184310316"/>
      <w:bookmarkEnd w:id="93"/>
      <w:bookmarkStart w:id="94" w:name="_Toc184314476"/>
      <w:bookmarkEnd w:id="94"/>
      <w:bookmarkStart w:id="95" w:name="_Toc184313257"/>
      <w:bookmarkEnd w:id="95"/>
      <w:bookmarkStart w:id="96" w:name="_Toc184312081"/>
      <w:bookmarkEnd w:id="96"/>
      <w:bookmarkStart w:id="97" w:name="_Toc184310297"/>
      <w:bookmarkEnd w:id="97"/>
      <w:bookmarkStart w:id="98" w:name="_Toc184312119"/>
      <w:bookmarkEnd w:id="98"/>
      <w:bookmarkStart w:id="99" w:name="_Toc184314449"/>
      <w:bookmarkEnd w:id="99"/>
      <w:bookmarkStart w:id="100" w:name="_Toc184314475"/>
      <w:bookmarkEnd w:id="100"/>
      <w:bookmarkStart w:id="101" w:name="_Toc184308040"/>
      <w:bookmarkEnd w:id="101"/>
      <w:bookmarkStart w:id="102" w:name="_Toc184314427"/>
      <w:bookmarkEnd w:id="102"/>
      <w:bookmarkStart w:id="103" w:name="_Toc184313243"/>
      <w:bookmarkEnd w:id="103"/>
      <w:bookmarkStart w:id="104" w:name="_Toc184312131"/>
      <w:bookmarkEnd w:id="104"/>
      <w:bookmarkStart w:id="105" w:name="_Toc184312138"/>
      <w:bookmarkEnd w:id="105"/>
      <w:bookmarkStart w:id="106" w:name="_Toc184310303"/>
      <w:bookmarkEnd w:id="106"/>
      <w:bookmarkStart w:id="107" w:name="_Toc184308067"/>
      <w:bookmarkEnd w:id="107"/>
      <w:bookmarkStart w:id="108" w:name="_Toc184310294"/>
      <w:bookmarkEnd w:id="108"/>
      <w:bookmarkStart w:id="109" w:name="_Toc184313278"/>
      <w:bookmarkEnd w:id="109"/>
      <w:bookmarkStart w:id="110" w:name="_Toc184313252"/>
      <w:bookmarkEnd w:id="110"/>
      <w:bookmarkStart w:id="111" w:name="_Toc184313309"/>
      <w:bookmarkEnd w:id="111"/>
      <w:bookmarkStart w:id="112" w:name="_Toc184313304"/>
      <w:bookmarkEnd w:id="112"/>
      <w:bookmarkStart w:id="113" w:name="_Toc184314422"/>
      <w:bookmarkEnd w:id="113"/>
      <w:bookmarkStart w:id="114" w:name="_Toc184313251"/>
      <w:bookmarkEnd w:id="114"/>
      <w:bookmarkStart w:id="115" w:name="_Toc184308093"/>
      <w:bookmarkEnd w:id="115"/>
      <w:bookmarkStart w:id="116" w:name="_Toc184314420"/>
      <w:bookmarkEnd w:id="116"/>
      <w:bookmarkStart w:id="117" w:name="_Toc184310300"/>
      <w:bookmarkEnd w:id="117"/>
      <w:bookmarkStart w:id="118" w:name="_Toc184308054"/>
      <w:bookmarkEnd w:id="118"/>
      <w:bookmarkStart w:id="119" w:name="_Toc184314440"/>
      <w:bookmarkEnd w:id="119"/>
      <w:bookmarkStart w:id="120" w:name="_Toc184310324"/>
      <w:bookmarkEnd w:id="120"/>
      <w:bookmarkStart w:id="121" w:name="_Toc184312074"/>
      <w:bookmarkEnd w:id="121"/>
      <w:bookmarkStart w:id="122" w:name="_Toc184313310"/>
      <w:bookmarkEnd w:id="122"/>
      <w:bookmarkStart w:id="123" w:name="_Toc184308096"/>
      <w:bookmarkEnd w:id="123"/>
      <w:bookmarkStart w:id="124" w:name="_Toc184312075"/>
      <w:bookmarkEnd w:id="124"/>
      <w:bookmarkStart w:id="125" w:name="_Toc184310314"/>
      <w:bookmarkEnd w:id="125"/>
      <w:bookmarkStart w:id="126" w:name="_Toc184312125"/>
      <w:bookmarkEnd w:id="126"/>
      <w:bookmarkStart w:id="127" w:name="_Toc184310299"/>
      <w:bookmarkEnd w:id="127"/>
      <w:bookmarkStart w:id="128" w:name="_Toc184314460"/>
      <w:bookmarkEnd w:id="128"/>
      <w:bookmarkStart w:id="129" w:name="_Toc184313255"/>
      <w:bookmarkEnd w:id="129"/>
      <w:bookmarkStart w:id="130" w:name="_Toc184310272"/>
      <w:bookmarkEnd w:id="130"/>
      <w:bookmarkStart w:id="131" w:name="_Toc184310283"/>
      <w:bookmarkEnd w:id="131"/>
      <w:bookmarkStart w:id="132" w:name="_Toc184314412"/>
      <w:bookmarkEnd w:id="132"/>
      <w:bookmarkStart w:id="133" w:name="_Toc184308087"/>
      <w:bookmarkEnd w:id="133"/>
      <w:bookmarkStart w:id="134" w:name="_Toc184310302"/>
      <w:bookmarkEnd w:id="134"/>
      <w:bookmarkStart w:id="135" w:name="_Toc184308071"/>
      <w:bookmarkEnd w:id="135"/>
      <w:bookmarkStart w:id="136" w:name="_Toc184314473"/>
      <w:bookmarkEnd w:id="136"/>
      <w:bookmarkStart w:id="137" w:name="_Toc184310273"/>
      <w:bookmarkEnd w:id="137"/>
      <w:bookmarkStart w:id="138" w:name="_Toc184312089"/>
      <w:bookmarkEnd w:id="138"/>
      <w:bookmarkStart w:id="139" w:name="_Toc184313276"/>
      <w:bookmarkEnd w:id="139"/>
      <w:bookmarkStart w:id="140" w:name="_Toc184314441"/>
      <w:bookmarkEnd w:id="140"/>
      <w:bookmarkStart w:id="141" w:name="_Toc184308083"/>
      <w:bookmarkEnd w:id="141"/>
      <w:bookmarkStart w:id="142" w:name="_Toc184314424"/>
      <w:bookmarkEnd w:id="142"/>
      <w:bookmarkStart w:id="143" w:name="_Toc184313288"/>
      <w:bookmarkEnd w:id="143"/>
      <w:bookmarkStart w:id="144" w:name="_Toc184314465"/>
      <w:bookmarkEnd w:id="144"/>
      <w:bookmarkStart w:id="145" w:name="_Toc184314453"/>
      <w:bookmarkEnd w:id="145"/>
      <w:bookmarkStart w:id="146" w:name="_Toc184312112"/>
      <w:bookmarkEnd w:id="146"/>
      <w:bookmarkStart w:id="147" w:name="_Toc184308097"/>
      <w:bookmarkEnd w:id="147"/>
      <w:bookmarkStart w:id="148" w:name="_Toc184312127"/>
      <w:bookmarkEnd w:id="148"/>
      <w:bookmarkStart w:id="149" w:name="_Toc184310340"/>
      <w:bookmarkEnd w:id="149"/>
      <w:bookmarkStart w:id="150" w:name="_Toc184312120"/>
      <w:bookmarkEnd w:id="150"/>
      <w:bookmarkStart w:id="151" w:name="_Toc184314418"/>
      <w:bookmarkEnd w:id="151"/>
      <w:bookmarkStart w:id="152" w:name="_Toc184308088"/>
      <w:bookmarkEnd w:id="152"/>
      <w:bookmarkStart w:id="153" w:name="_Toc184310341"/>
      <w:bookmarkEnd w:id="153"/>
      <w:bookmarkStart w:id="154" w:name="_Toc184314464"/>
      <w:bookmarkEnd w:id="154"/>
      <w:bookmarkStart w:id="155" w:name="_Toc184312095"/>
      <w:bookmarkEnd w:id="155"/>
      <w:bookmarkStart w:id="156" w:name="_Toc184314425"/>
      <w:bookmarkEnd w:id="156"/>
      <w:bookmarkStart w:id="157" w:name="_Toc184312135"/>
      <w:bookmarkEnd w:id="157"/>
      <w:bookmarkStart w:id="158" w:name="_Toc184313303"/>
      <w:bookmarkEnd w:id="158"/>
      <w:bookmarkStart w:id="159" w:name="_Toc184308051"/>
      <w:bookmarkEnd w:id="159"/>
      <w:bookmarkStart w:id="160" w:name="_Toc184308102"/>
      <w:bookmarkEnd w:id="160"/>
      <w:bookmarkStart w:id="161" w:name="_Toc184308049"/>
      <w:bookmarkEnd w:id="161"/>
      <w:bookmarkStart w:id="162" w:name="_Toc184313283"/>
      <w:bookmarkEnd w:id="162"/>
      <w:bookmarkStart w:id="163" w:name="_Toc184313239"/>
      <w:bookmarkEnd w:id="163"/>
      <w:bookmarkStart w:id="164" w:name="_Toc184313240"/>
      <w:bookmarkEnd w:id="164"/>
      <w:bookmarkStart w:id="165" w:name="_Toc184308099"/>
      <w:bookmarkEnd w:id="165"/>
      <w:bookmarkStart w:id="166" w:name="_Toc184308065"/>
      <w:bookmarkEnd w:id="166"/>
      <w:bookmarkStart w:id="167" w:name="_Toc184312088"/>
      <w:bookmarkEnd w:id="167"/>
      <w:bookmarkStart w:id="168" w:name="_Toc184312108"/>
      <w:bookmarkEnd w:id="168"/>
      <w:bookmarkStart w:id="169" w:name="_Toc184310305"/>
      <w:bookmarkEnd w:id="169"/>
      <w:bookmarkStart w:id="170" w:name="_Toc184312124"/>
      <w:bookmarkEnd w:id="170"/>
      <w:bookmarkStart w:id="171" w:name="_Toc184313248"/>
      <w:bookmarkEnd w:id="171"/>
      <w:bookmarkStart w:id="172" w:name="_Toc184312073"/>
      <w:bookmarkEnd w:id="172"/>
      <w:bookmarkStart w:id="173" w:name="_Toc184308053"/>
      <w:bookmarkEnd w:id="173"/>
      <w:bookmarkStart w:id="174" w:name="_Toc184314458"/>
      <w:bookmarkEnd w:id="174"/>
      <w:bookmarkStart w:id="175" w:name="_Toc184314446"/>
      <w:bookmarkEnd w:id="175"/>
      <w:bookmarkStart w:id="176" w:name="_Toc184313297"/>
      <w:bookmarkEnd w:id="176"/>
      <w:bookmarkStart w:id="177" w:name="_Toc184313298"/>
      <w:bookmarkEnd w:id="177"/>
      <w:bookmarkStart w:id="178" w:name="_Toc184308080"/>
      <w:bookmarkEnd w:id="178"/>
      <w:bookmarkStart w:id="179" w:name="_Toc184312100"/>
      <w:bookmarkEnd w:id="179"/>
      <w:bookmarkStart w:id="180" w:name="_Toc184308084"/>
      <w:bookmarkEnd w:id="180"/>
      <w:bookmarkStart w:id="181" w:name="_Toc184310293"/>
      <w:bookmarkEnd w:id="181"/>
      <w:bookmarkStart w:id="182" w:name="_Toc184310290"/>
      <w:bookmarkEnd w:id="182"/>
      <w:bookmarkStart w:id="183" w:name="_Toc184308076"/>
      <w:bookmarkEnd w:id="183"/>
      <w:bookmarkStart w:id="184" w:name="_Toc184310332"/>
      <w:bookmarkEnd w:id="184"/>
      <w:bookmarkStart w:id="185" w:name="_Toc184314457"/>
      <w:bookmarkEnd w:id="185"/>
      <w:bookmarkStart w:id="186" w:name="_Toc184312133"/>
      <w:bookmarkEnd w:id="186"/>
      <w:bookmarkStart w:id="187" w:name="_Toc184312123"/>
      <w:bookmarkEnd w:id="187"/>
      <w:bookmarkStart w:id="188" w:name="_Toc184314481"/>
      <w:bookmarkEnd w:id="188"/>
      <w:bookmarkStart w:id="189" w:name="_Toc184312098"/>
      <w:bookmarkEnd w:id="189"/>
      <w:bookmarkStart w:id="190" w:name="_Toc184313247"/>
      <w:bookmarkEnd w:id="190"/>
      <w:bookmarkStart w:id="191" w:name="_Toc184312134"/>
      <w:bookmarkEnd w:id="191"/>
      <w:bookmarkStart w:id="192" w:name="_Toc184313260"/>
      <w:bookmarkEnd w:id="192"/>
      <w:bookmarkStart w:id="193" w:name="_Toc184312086"/>
      <w:bookmarkEnd w:id="193"/>
      <w:bookmarkStart w:id="194" w:name="_Toc184310296"/>
      <w:bookmarkEnd w:id="194"/>
      <w:bookmarkStart w:id="195" w:name="_Toc184308060"/>
      <w:bookmarkEnd w:id="195"/>
      <w:bookmarkStart w:id="196" w:name="_Toc184310337"/>
      <w:bookmarkEnd w:id="196"/>
      <w:bookmarkStart w:id="197" w:name="_Toc184312122"/>
      <w:bookmarkEnd w:id="197"/>
      <w:bookmarkStart w:id="198" w:name="_Toc184313277"/>
      <w:bookmarkEnd w:id="198"/>
      <w:bookmarkStart w:id="199" w:name="_Toc184314426"/>
      <w:bookmarkEnd w:id="199"/>
      <w:bookmarkStart w:id="200" w:name="_Toc184313306"/>
      <w:bookmarkEnd w:id="200"/>
      <w:bookmarkStart w:id="201" w:name="_Toc184310312"/>
      <w:bookmarkEnd w:id="201"/>
      <w:bookmarkStart w:id="202" w:name="_Toc184310322"/>
      <w:bookmarkEnd w:id="202"/>
      <w:bookmarkStart w:id="203" w:name="_Toc184308046"/>
      <w:bookmarkEnd w:id="203"/>
      <w:bookmarkStart w:id="204" w:name="_Toc184312072"/>
      <w:bookmarkEnd w:id="204"/>
      <w:bookmarkStart w:id="205" w:name="_Toc184312102"/>
      <w:bookmarkEnd w:id="205"/>
      <w:bookmarkStart w:id="206" w:name="_Toc184314470"/>
      <w:bookmarkEnd w:id="206"/>
      <w:bookmarkStart w:id="207" w:name="_Toc184314413"/>
      <w:bookmarkEnd w:id="207"/>
      <w:bookmarkStart w:id="208" w:name="_Toc184314456"/>
      <w:bookmarkEnd w:id="208"/>
      <w:bookmarkStart w:id="209" w:name="_Toc184308104"/>
      <w:bookmarkEnd w:id="209"/>
      <w:bookmarkStart w:id="210" w:name="_Toc184314423"/>
      <w:bookmarkEnd w:id="210"/>
      <w:bookmarkStart w:id="211" w:name="_Toc184313238"/>
      <w:bookmarkEnd w:id="211"/>
      <w:bookmarkStart w:id="212" w:name="_Toc184312101"/>
      <w:bookmarkEnd w:id="212"/>
      <w:bookmarkStart w:id="213" w:name="_Toc184313305"/>
      <w:bookmarkEnd w:id="213"/>
      <w:bookmarkStart w:id="214" w:name="_Toc184310317"/>
      <w:bookmarkEnd w:id="214"/>
      <w:bookmarkStart w:id="215" w:name="_Toc184314454"/>
      <w:bookmarkEnd w:id="215"/>
      <w:bookmarkStart w:id="216" w:name="_Toc184312126"/>
      <w:bookmarkEnd w:id="216"/>
      <w:bookmarkStart w:id="217" w:name="_Toc184310323"/>
      <w:bookmarkEnd w:id="217"/>
      <w:bookmarkStart w:id="218" w:name="_Toc184313250"/>
      <w:bookmarkEnd w:id="218"/>
      <w:bookmarkStart w:id="219" w:name="_Toc184310289"/>
      <w:bookmarkEnd w:id="219"/>
      <w:bookmarkStart w:id="220" w:name="_Toc184313294"/>
      <w:bookmarkEnd w:id="220"/>
      <w:bookmarkStart w:id="221" w:name="_Toc184314435"/>
      <w:bookmarkEnd w:id="221"/>
      <w:bookmarkStart w:id="222" w:name="_Toc184310329"/>
      <w:bookmarkEnd w:id="222"/>
      <w:bookmarkStart w:id="223" w:name="_Toc184310280"/>
      <w:bookmarkEnd w:id="223"/>
      <w:bookmarkStart w:id="224" w:name="_Toc184308101"/>
      <w:bookmarkEnd w:id="224"/>
      <w:bookmarkStart w:id="225" w:name="_Toc184312139"/>
      <w:bookmarkEnd w:id="225"/>
      <w:bookmarkStart w:id="226" w:name="_Toc184313270"/>
      <w:bookmarkEnd w:id="226"/>
      <w:bookmarkStart w:id="227" w:name="_Toc184313292"/>
      <w:bookmarkEnd w:id="227"/>
      <w:bookmarkStart w:id="228" w:name="_Toc184312105"/>
      <w:bookmarkEnd w:id="228"/>
      <w:bookmarkStart w:id="229" w:name="_Toc184312132"/>
      <w:bookmarkEnd w:id="229"/>
      <w:bookmarkStart w:id="230" w:name="_Toc184314417"/>
      <w:bookmarkEnd w:id="230"/>
      <w:bookmarkStart w:id="231" w:name="_Toc184310343"/>
      <w:bookmarkEnd w:id="231"/>
      <w:bookmarkStart w:id="232" w:name="_Toc184308107"/>
      <w:bookmarkEnd w:id="232"/>
      <w:bookmarkStart w:id="233" w:name="_Toc184313259"/>
      <w:bookmarkEnd w:id="233"/>
      <w:bookmarkStart w:id="234" w:name="_Toc184310307"/>
      <w:bookmarkEnd w:id="234"/>
      <w:bookmarkStart w:id="235" w:name="_Toc184313246"/>
      <w:bookmarkEnd w:id="235"/>
      <w:bookmarkStart w:id="236" w:name="_Toc184313307"/>
      <w:bookmarkEnd w:id="236"/>
      <w:bookmarkStart w:id="237" w:name="_Toc184313271"/>
      <w:bookmarkEnd w:id="237"/>
      <w:bookmarkStart w:id="238" w:name="_Toc184310306"/>
      <w:bookmarkEnd w:id="238"/>
      <w:bookmarkStart w:id="239" w:name="_Toc184314451"/>
      <w:bookmarkEnd w:id="239"/>
      <w:bookmarkStart w:id="240" w:name="_Toc184313244"/>
      <w:bookmarkEnd w:id="240"/>
      <w:bookmarkStart w:id="241" w:name="_Toc184308086"/>
      <w:bookmarkEnd w:id="241"/>
      <w:bookmarkStart w:id="242" w:name="_Toc184313266"/>
      <w:bookmarkEnd w:id="242"/>
      <w:bookmarkStart w:id="243" w:name="_Toc184312136"/>
      <w:bookmarkEnd w:id="243"/>
      <w:bookmarkStart w:id="244" w:name="_Toc184313253"/>
      <w:bookmarkEnd w:id="244"/>
      <w:bookmarkStart w:id="245" w:name="_Toc184310275"/>
      <w:bookmarkEnd w:id="245"/>
      <w:bookmarkStart w:id="246" w:name="_Toc184312087"/>
      <w:bookmarkEnd w:id="246"/>
      <w:bookmarkStart w:id="247" w:name="_Toc184314448"/>
      <w:bookmarkEnd w:id="247"/>
      <w:bookmarkStart w:id="248" w:name="_Toc184310311"/>
      <w:bookmarkEnd w:id="248"/>
      <w:bookmarkStart w:id="249" w:name="_Toc184314443"/>
      <w:bookmarkEnd w:id="249"/>
      <w:bookmarkStart w:id="250" w:name="_Toc184312111"/>
      <w:bookmarkEnd w:id="250"/>
      <w:bookmarkStart w:id="251" w:name="_Toc184313285"/>
      <w:bookmarkEnd w:id="251"/>
      <w:bookmarkStart w:id="252" w:name="_Toc184310301"/>
      <w:bookmarkEnd w:id="252"/>
      <w:bookmarkStart w:id="253" w:name="_Toc184313302"/>
      <w:bookmarkEnd w:id="253"/>
      <w:bookmarkStart w:id="254" w:name="_Toc184308064"/>
      <w:bookmarkEnd w:id="254"/>
      <w:bookmarkStart w:id="255" w:name="_Toc184312092"/>
      <w:bookmarkEnd w:id="255"/>
      <w:bookmarkStart w:id="256" w:name="_Toc184314442"/>
      <w:bookmarkEnd w:id="256"/>
      <w:bookmarkStart w:id="257" w:name="_Toc184310281"/>
      <w:bookmarkEnd w:id="257"/>
      <w:bookmarkStart w:id="258" w:name="_Toc184314474"/>
      <w:bookmarkEnd w:id="258"/>
      <w:bookmarkStart w:id="259" w:name="_Toc184308055"/>
      <w:bookmarkEnd w:id="259"/>
      <w:bookmarkStart w:id="260" w:name="_Toc184308036"/>
      <w:bookmarkEnd w:id="260"/>
      <w:bookmarkStart w:id="261" w:name="_Toc184314433"/>
      <w:bookmarkEnd w:id="261"/>
      <w:bookmarkStart w:id="262" w:name="_Toc184312116"/>
      <w:bookmarkEnd w:id="262"/>
      <w:bookmarkStart w:id="263" w:name="_Toc184313258"/>
      <w:bookmarkEnd w:id="263"/>
      <w:bookmarkStart w:id="264" w:name="_Toc184308068"/>
      <w:bookmarkEnd w:id="264"/>
      <w:bookmarkStart w:id="265" w:name="_Toc184308074"/>
      <w:bookmarkEnd w:id="265"/>
      <w:bookmarkStart w:id="266" w:name="_Toc184314472"/>
      <w:bookmarkEnd w:id="266"/>
      <w:bookmarkStart w:id="267" w:name="_Toc184312091"/>
      <w:bookmarkEnd w:id="267"/>
      <w:bookmarkStart w:id="268" w:name="_Toc184310319"/>
      <w:bookmarkEnd w:id="268"/>
      <w:bookmarkStart w:id="269" w:name="_Toc184312083"/>
      <w:bookmarkEnd w:id="269"/>
      <w:bookmarkStart w:id="270" w:name="_Toc184313287"/>
      <w:bookmarkEnd w:id="270"/>
      <w:bookmarkStart w:id="271" w:name="_Toc184308075"/>
      <w:bookmarkEnd w:id="271"/>
      <w:bookmarkStart w:id="272" w:name="_Toc184308037"/>
      <w:bookmarkEnd w:id="272"/>
      <w:bookmarkStart w:id="273" w:name="_Toc184313279"/>
      <w:bookmarkEnd w:id="273"/>
      <w:bookmarkStart w:id="274" w:name="_Toc184314482"/>
      <w:bookmarkEnd w:id="274"/>
      <w:bookmarkStart w:id="275" w:name="_Toc184308056"/>
      <w:bookmarkEnd w:id="275"/>
      <w:bookmarkStart w:id="276" w:name="_Toc184308073"/>
      <w:bookmarkEnd w:id="276"/>
      <w:bookmarkStart w:id="277" w:name="_Toc184310295"/>
      <w:bookmarkEnd w:id="277"/>
      <w:bookmarkStart w:id="278" w:name="_Toc184313269"/>
      <w:bookmarkEnd w:id="278"/>
      <w:bookmarkStart w:id="279" w:name="_Toc184314447"/>
      <w:bookmarkEnd w:id="279"/>
      <w:bookmarkStart w:id="280" w:name="_Toc184313249"/>
      <w:bookmarkEnd w:id="280"/>
      <w:bookmarkStart w:id="281" w:name="_Toc184308092"/>
      <w:bookmarkEnd w:id="281"/>
      <w:bookmarkStart w:id="282" w:name="_Toc184312076"/>
      <w:bookmarkEnd w:id="282"/>
      <w:bookmarkStart w:id="283" w:name="_Toc184314478"/>
      <w:bookmarkEnd w:id="283"/>
      <w:bookmarkStart w:id="284" w:name="_Toc184310318"/>
      <w:bookmarkEnd w:id="284"/>
      <w:bookmarkStart w:id="285" w:name="_Toc184308100"/>
      <w:bookmarkEnd w:id="285"/>
      <w:bookmarkStart w:id="286" w:name="_Toc184313245"/>
      <w:bookmarkEnd w:id="286"/>
      <w:bookmarkStart w:id="287" w:name="_Toc184314414"/>
      <w:bookmarkEnd w:id="287"/>
      <w:bookmarkStart w:id="288" w:name="_Toc184308069"/>
      <w:bookmarkEnd w:id="288"/>
      <w:bookmarkStart w:id="289" w:name="_Toc184312104"/>
      <w:bookmarkEnd w:id="289"/>
      <w:bookmarkStart w:id="290" w:name="_Toc184312103"/>
      <w:bookmarkEnd w:id="290"/>
      <w:bookmarkStart w:id="291" w:name="_Toc184313280"/>
      <w:bookmarkEnd w:id="291"/>
      <w:bookmarkStart w:id="292" w:name="_Toc184308039"/>
      <w:bookmarkEnd w:id="292"/>
      <w:bookmarkStart w:id="293" w:name="_Toc184312093"/>
      <w:bookmarkEnd w:id="293"/>
      <w:bookmarkStart w:id="294" w:name="_Toc184310304"/>
      <w:bookmarkEnd w:id="294"/>
      <w:bookmarkStart w:id="295" w:name="_Toc184313256"/>
      <w:bookmarkEnd w:id="295"/>
      <w:bookmarkStart w:id="296" w:name="_Toc184312113"/>
      <w:bookmarkEnd w:id="296"/>
      <w:bookmarkStart w:id="297" w:name="_Toc184312130"/>
      <w:bookmarkEnd w:id="297"/>
      <w:bookmarkStart w:id="298" w:name="_Toc184308085"/>
      <w:bookmarkEnd w:id="298"/>
      <w:bookmarkStart w:id="299" w:name="_Toc184314462"/>
      <w:bookmarkEnd w:id="299"/>
      <w:bookmarkStart w:id="300" w:name="_Toc184313282"/>
      <w:bookmarkEnd w:id="300"/>
      <w:bookmarkStart w:id="301" w:name="_Toc184314445"/>
      <w:bookmarkEnd w:id="301"/>
      <w:bookmarkStart w:id="302" w:name="_Toc184308108"/>
      <w:bookmarkEnd w:id="302"/>
      <w:bookmarkStart w:id="303" w:name="_Toc184310338"/>
      <w:bookmarkEnd w:id="303"/>
      <w:bookmarkStart w:id="304" w:name="_Toc184314411"/>
      <w:bookmarkEnd w:id="304"/>
      <w:bookmarkStart w:id="305" w:name="_Toc184310309"/>
      <w:bookmarkEnd w:id="305"/>
      <w:bookmarkStart w:id="306" w:name="_Toc184310282"/>
      <w:bookmarkEnd w:id="306"/>
      <w:bookmarkStart w:id="307" w:name="_Toc184314477"/>
      <w:bookmarkEnd w:id="307"/>
      <w:bookmarkStart w:id="308" w:name="_Toc184312115"/>
      <w:bookmarkEnd w:id="308"/>
      <w:bookmarkStart w:id="309" w:name="_Toc184312128"/>
      <w:bookmarkEnd w:id="309"/>
      <w:bookmarkStart w:id="310" w:name="_Toc184312118"/>
      <w:bookmarkEnd w:id="310"/>
      <w:bookmarkStart w:id="311" w:name="_Toc184314444"/>
      <w:bookmarkEnd w:id="311"/>
      <w:bookmarkStart w:id="312" w:name="_Toc184308044"/>
      <w:bookmarkEnd w:id="312"/>
      <w:bookmarkStart w:id="313" w:name="_Toc184312078"/>
      <w:bookmarkEnd w:id="313"/>
      <w:bookmarkStart w:id="314" w:name="_Toc184308103"/>
      <w:bookmarkEnd w:id="314"/>
      <w:bookmarkStart w:id="315" w:name="_Toc184308106"/>
      <w:bookmarkEnd w:id="315"/>
      <w:bookmarkStart w:id="316" w:name="_Toc184308089"/>
      <w:bookmarkEnd w:id="316"/>
      <w:bookmarkStart w:id="317" w:name="_Toc184308078"/>
      <w:bookmarkEnd w:id="317"/>
      <w:bookmarkStart w:id="318" w:name="_Toc184308070"/>
      <w:bookmarkEnd w:id="318"/>
      <w:bookmarkStart w:id="319" w:name="_Toc184312129"/>
      <w:bookmarkEnd w:id="319"/>
      <w:bookmarkStart w:id="320" w:name="_Toc184312109"/>
      <w:bookmarkEnd w:id="320"/>
      <w:bookmarkStart w:id="321" w:name="_Toc184313300"/>
      <w:bookmarkEnd w:id="321"/>
      <w:bookmarkStart w:id="322" w:name="_Toc184313308"/>
      <w:bookmarkEnd w:id="322"/>
      <w:bookmarkStart w:id="323" w:name="_Toc184314479"/>
      <w:bookmarkEnd w:id="323"/>
      <w:bookmarkStart w:id="324" w:name="_Toc184310327"/>
      <w:bookmarkEnd w:id="324"/>
      <w:bookmarkStart w:id="325" w:name="_Toc184314480"/>
      <w:bookmarkEnd w:id="325"/>
      <w:bookmarkStart w:id="326" w:name="_Toc184308098"/>
      <w:bookmarkEnd w:id="326"/>
      <w:bookmarkStart w:id="327" w:name="_Toc184312121"/>
      <w:bookmarkEnd w:id="327"/>
      <w:bookmarkStart w:id="328" w:name="_Toc184314471"/>
      <w:bookmarkEnd w:id="328"/>
      <w:bookmarkStart w:id="329" w:name="_Toc184312090"/>
      <w:bookmarkEnd w:id="329"/>
      <w:bookmarkStart w:id="330" w:name="_Toc184310321"/>
      <w:bookmarkEnd w:id="330"/>
      <w:bookmarkStart w:id="331" w:name="_Toc184314452"/>
      <w:bookmarkEnd w:id="331"/>
      <w:bookmarkStart w:id="332" w:name="_Toc184313299"/>
      <w:bookmarkEnd w:id="332"/>
      <w:bookmarkStart w:id="333" w:name="_Toc184314416"/>
      <w:bookmarkEnd w:id="333"/>
      <w:bookmarkStart w:id="334" w:name="_Toc184308048"/>
      <w:bookmarkEnd w:id="334"/>
      <w:bookmarkStart w:id="335" w:name="_Toc184314438"/>
      <w:bookmarkEnd w:id="335"/>
      <w:bookmarkStart w:id="336" w:name="_Toc184314428"/>
      <w:bookmarkEnd w:id="336"/>
      <w:bookmarkStart w:id="337" w:name="_Toc184312068"/>
      <w:bookmarkEnd w:id="337"/>
      <w:bookmarkStart w:id="338" w:name="_Toc184308061"/>
      <w:bookmarkEnd w:id="338"/>
      <w:bookmarkStart w:id="339" w:name="_Toc184308077"/>
      <w:bookmarkEnd w:id="339"/>
      <w:bookmarkStart w:id="340" w:name="_Toc184313267"/>
      <w:bookmarkEnd w:id="340"/>
      <w:bookmarkStart w:id="341" w:name="_Toc184313263"/>
      <w:bookmarkEnd w:id="341"/>
      <w:bookmarkStart w:id="342" w:name="_Toc184310335"/>
      <w:bookmarkEnd w:id="342"/>
      <w:bookmarkStart w:id="343" w:name="_Toc184310315"/>
      <w:bookmarkEnd w:id="343"/>
      <w:bookmarkStart w:id="344" w:name="_Toc184314463"/>
      <w:bookmarkEnd w:id="344"/>
      <w:bookmarkStart w:id="345" w:name="_Toc184313268"/>
      <w:bookmarkEnd w:id="345"/>
      <w:bookmarkStart w:id="346" w:name="_Toc184308042"/>
      <w:bookmarkEnd w:id="346"/>
      <w:bookmarkStart w:id="347" w:name="_Toc184312084"/>
      <w:bookmarkEnd w:id="347"/>
      <w:bookmarkStart w:id="348" w:name="_Toc184310298"/>
      <w:bookmarkEnd w:id="348"/>
      <w:bookmarkStart w:id="349" w:name="_Toc184313290"/>
      <w:bookmarkEnd w:id="349"/>
      <w:bookmarkStart w:id="350" w:name="_Toc184312110"/>
      <w:bookmarkEnd w:id="350"/>
      <w:bookmarkStart w:id="351" w:name="_Toc184308105"/>
      <w:bookmarkEnd w:id="351"/>
      <w:bookmarkStart w:id="352" w:name="_Toc184312079"/>
      <w:bookmarkEnd w:id="352"/>
      <w:bookmarkStart w:id="353" w:name="_Toc184312085"/>
      <w:bookmarkEnd w:id="353"/>
      <w:bookmarkStart w:id="354" w:name="_Toc184310325"/>
      <w:bookmarkEnd w:id="354"/>
      <w:bookmarkStart w:id="355" w:name="_Toc184308057"/>
      <w:bookmarkEnd w:id="355"/>
      <w:bookmarkStart w:id="356" w:name="_Toc184314432"/>
      <w:bookmarkEnd w:id="356"/>
      <w:bookmarkStart w:id="357" w:name="_Toc184312117"/>
      <w:bookmarkEnd w:id="357"/>
      <w:bookmarkStart w:id="358" w:name="_Toc184314436"/>
      <w:bookmarkEnd w:id="358"/>
      <w:bookmarkStart w:id="359" w:name="_Toc184314467"/>
      <w:bookmarkEnd w:id="359"/>
      <w:bookmarkStart w:id="360" w:name="_Toc184313274"/>
      <w:bookmarkEnd w:id="360"/>
      <w:bookmarkStart w:id="361" w:name="_Toc184310313"/>
      <w:bookmarkEnd w:id="361"/>
      <w:bookmarkStart w:id="362" w:name="_Toc184314450"/>
      <w:bookmarkEnd w:id="362"/>
      <w:bookmarkStart w:id="363" w:name="_Toc184312106"/>
      <w:bookmarkEnd w:id="363"/>
      <w:bookmarkStart w:id="364" w:name="_Toc184308058"/>
      <w:bookmarkEnd w:id="364"/>
      <w:bookmarkStart w:id="365" w:name="_Toc184310333"/>
      <w:bookmarkEnd w:id="365"/>
      <w:bookmarkStart w:id="366" w:name="_Toc184312097"/>
      <w:bookmarkEnd w:id="366"/>
      <w:bookmarkStart w:id="367" w:name="_Toc184310308"/>
      <w:bookmarkEnd w:id="367"/>
      <w:bookmarkStart w:id="368" w:name="_Toc184313254"/>
      <w:bookmarkEnd w:id="368"/>
      <w:bookmarkStart w:id="369" w:name="_Toc184308062"/>
      <w:bookmarkEnd w:id="369"/>
      <w:bookmarkStart w:id="370" w:name="_Toc184313273"/>
      <w:bookmarkEnd w:id="370"/>
      <w:bookmarkStart w:id="371" w:name="_Toc184314430"/>
      <w:bookmarkEnd w:id="371"/>
      <w:bookmarkStart w:id="372" w:name="_Toc184313286"/>
      <w:bookmarkEnd w:id="372"/>
      <w:bookmarkStart w:id="373" w:name="_Toc184310274"/>
      <w:bookmarkEnd w:id="373"/>
      <w:bookmarkStart w:id="374" w:name="_Toc184308047"/>
      <w:bookmarkEnd w:id="374"/>
      <w:bookmarkStart w:id="375" w:name="_Toc184314468"/>
      <w:bookmarkEnd w:id="375"/>
      <w:bookmarkStart w:id="376" w:name="_Toc184313262"/>
      <w:bookmarkEnd w:id="376"/>
      <w:bookmarkStart w:id="377" w:name="_Toc184308094"/>
      <w:bookmarkEnd w:id="377"/>
      <w:bookmarkStart w:id="378" w:name="_Toc184310339"/>
      <w:bookmarkEnd w:id="378"/>
      <w:bookmarkStart w:id="379" w:name="_Toc184310284"/>
      <w:bookmarkEnd w:id="379"/>
      <w:bookmarkStart w:id="380" w:name="_Toc184310288"/>
      <w:bookmarkEnd w:id="380"/>
      <w:bookmarkStart w:id="381" w:name="_Toc184310320"/>
      <w:bookmarkEnd w:id="381"/>
      <w:bookmarkStart w:id="382" w:name="_Toc184308045"/>
      <w:bookmarkEnd w:id="382"/>
      <w:bookmarkStart w:id="383" w:name="_Toc184310342"/>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6"/>
        <w:ind w:firstLine="480" w:firstLineChars="200"/>
      </w:pPr>
      <w:r>
        <w:rPr>
          <w:lang w:val="en-US"/>
        </w:rPr>
        <w:t>1.1</w:t>
      </w:r>
      <w:r>
        <w:rPr>
          <w:rFonts w:hint="eastAsia"/>
        </w:rPr>
        <w:t>若出现税率不一致的情况，以除税总金额相对比。</w:t>
      </w:r>
    </w:p>
    <w:p>
      <w:pPr>
        <w:pStyle w:val="6"/>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6"/>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LJGS-2023-          </w:t>
      </w:r>
    </w:p>
    <w:p>
      <w:pPr>
        <w:spacing w:line="480" w:lineRule="auto"/>
        <w:rPr>
          <w:rFonts w:ascii="宋体" w:hAnsi="宋体" w:cs="宋体"/>
          <w:b/>
          <w:sz w:val="24"/>
        </w:rPr>
      </w:pPr>
    </w:p>
    <w:p>
      <w:pPr>
        <w:pStyle w:val="3"/>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2"/>
        <w:rPr>
          <w:rFonts w:ascii="宋体" w:hAnsi="宋体" w:cs="宋体"/>
          <w:szCs w:val="24"/>
        </w:rPr>
      </w:pPr>
    </w:p>
    <w:p>
      <w:pPr>
        <w:spacing w:before="120" w:line="22" w:lineRule="atLeast"/>
        <w:ind w:left="960"/>
        <w:rPr>
          <w:rFonts w:ascii="宋体" w:hAnsi="宋体" w:eastAsia="宋体" w:cs="宋体"/>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u w:val="single"/>
          <w:lang w:eastAsia="zh-CN"/>
        </w:rPr>
        <w:t>2023年临江公司标准件（紧固件）</w:t>
      </w:r>
      <w:r>
        <w:rPr>
          <w:rFonts w:hint="eastAsia" w:ascii="宋体" w:hAnsi="宋体" w:cs="宋体"/>
          <w:sz w:val="24"/>
          <w:u w:val="single"/>
        </w:rPr>
        <w:t>采购</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22"/>
        <w:ind w:left="0" w:leftChars="0" w:firstLine="0" w:firstLineChars="0"/>
        <w:rPr>
          <w:rFonts w:ascii="宋体" w:hAnsi="宋体" w:cs="宋体"/>
          <w:b/>
          <w:szCs w:val="24"/>
        </w:rPr>
      </w:pPr>
    </w:p>
    <w:p>
      <w:pPr>
        <w:pStyle w:val="7"/>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2"/>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2"/>
        <w:ind w:left="0" w:leftChars="0" w:firstLine="0" w:firstLineChars="0"/>
        <w:rPr>
          <w:rFonts w:ascii="宋体" w:hAnsi="宋体" w:cs="宋体"/>
          <w:szCs w:val="24"/>
        </w:rPr>
      </w:pPr>
    </w:p>
    <w:p>
      <w:pPr>
        <w:pStyle w:val="22"/>
        <w:ind w:left="0" w:leftChars="0" w:firstLine="0" w:firstLineChars="0"/>
        <w:jc w:val="center"/>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2023年临江公司标准件（紧固件）</w:t>
      </w:r>
      <w:r>
        <w:rPr>
          <w:rFonts w:hint="eastAsia" w:ascii="宋体" w:hAnsi="宋体" w:cs="宋体"/>
          <w:sz w:val="24"/>
          <w:u w:val="single"/>
        </w:rPr>
        <w:t xml:space="preserve">采购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2232"/>
      <w:bookmarkStart w:id="385" w:name="_Toc3029"/>
      <w:bookmarkStart w:id="386" w:name="_Toc24059"/>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sz w:val="24"/>
        </w:rPr>
      </w:pPr>
      <w:bookmarkStart w:id="387" w:name="_Toc21295"/>
      <w:bookmarkStart w:id="388" w:name="_Toc27126"/>
      <w:bookmarkStart w:id="389" w:name="_Toc24300"/>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w:t>
      </w:r>
      <w:r>
        <w:rPr>
          <w:rFonts w:hint="eastAsia" w:ascii="宋体" w:hAnsi="宋体" w:cs="宋体"/>
          <w:sz w:val="24"/>
          <w:lang w:val="en-US" w:eastAsia="zh-CN"/>
        </w:rPr>
        <w:t>无</w:t>
      </w:r>
      <w:r>
        <w:rPr>
          <w:rFonts w:hint="eastAsia" w:ascii="宋体" w:hAnsi="宋体" w:cs="宋体"/>
          <w:sz w:val="24"/>
        </w:rPr>
        <w:t>）、售后服务费及税费等全部费用。除非甲方有额外采购需求且经甲方书面同意，否则，本合同下总价不予调整。</w:t>
      </w:r>
    </w:p>
    <w:p>
      <w:pPr>
        <w:pStyle w:val="23"/>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u w:val="single"/>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4.货物数量</w:t>
      </w:r>
      <w:r>
        <w:rPr>
          <w:rFonts w:hint="eastAsia" w:ascii="宋体" w:hAnsi="宋体" w:cs="宋体"/>
          <w:sz w:val="24"/>
          <w:u w:val="single"/>
        </w:rPr>
        <w:t>：</w:t>
      </w:r>
      <w:r>
        <w:rPr>
          <w:rFonts w:hint="eastAsia" w:ascii="宋体" w:hAnsi="宋体" w:cs="宋体"/>
          <w:sz w:val="24"/>
          <w:u w:val="single"/>
          <w:lang w:val="en-US" w:eastAsia="zh-CN"/>
        </w:rPr>
        <w:t>按合同约定数量供货</w:t>
      </w:r>
      <w:r>
        <w:rPr>
          <w:rFonts w:hint="eastAsia" w:ascii="宋体" w:hAnsi="宋体" w:cs="宋体"/>
          <w:sz w:val="24"/>
          <w:u w:val="single"/>
        </w:rPr>
        <w:t>。</w:t>
      </w:r>
    </w:p>
    <w:p>
      <w:pPr>
        <w:pStyle w:val="23"/>
        <w:spacing w:before="0" w:beforeAutospacing="0" w:after="0" w:afterAutospacing="0" w:line="360" w:lineRule="auto"/>
        <w:ind w:firstLine="480"/>
        <w:rPr>
          <w:b/>
        </w:rPr>
      </w:pPr>
      <w:bookmarkStart w:id="390" w:name="_Toc1814"/>
      <w:bookmarkStart w:id="391" w:name="_Toc10340"/>
      <w:bookmarkStart w:id="392" w:name="_Toc22618"/>
      <w:r>
        <w:rPr>
          <w:rFonts w:hint="eastAsia"/>
          <w:b/>
        </w:rPr>
        <w:t>三、合同期限期限、货物交付期限、地点和联系方式、交付方式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 xml:space="preserve"> </w:t>
      </w:r>
      <w:r>
        <w:rPr>
          <w:rFonts w:hint="eastAsia" w:ascii="宋体" w:hAnsi="宋体" w:cs="宋体"/>
          <w:sz w:val="24"/>
          <w:u w:val="single"/>
          <w:lang w:eastAsia="zh-CN"/>
        </w:rPr>
        <w:t>一次性供货结束后合同自动终止</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rPr>
        <w:t xml:space="preserve">按采购订单要求执行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3"/>
        <w:spacing w:before="0" w:beforeAutospacing="0" w:after="0" w:afterAutospacing="0" w:line="360" w:lineRule="auto"/>
        <w:ind w:firstLine="480"/>
        <w:rPr>
          <w:b/>
        </w:rPr>
      </w:pPr>
      <w:r>
        <w:rPr>
          <w:rFonts w:hint="eastAsia"/>
          <w:b/>
        </w:rPr>
        <w:t>四、技术和质量要求</w:t>
      </w:r>
    </w:p>
    <w:p>
      <w:pPr>
        <w:pStyle w:val="23"/>
        <w:spacing w:before="0" w:beforeAutospacing="0" w:after="0" w:afterAutospacing="0" w:line="360" w:lineRule="auto"/>
        <w:ind w:firstLine="480" w:firstLineChars="200"/>
      </w:pPr>
      <w:r>
        <w:rPr>
          <w:rFonts w:hint="eastAsia"/>
        </w:rPr>
        <w:t xml:space="preserve">1.品牌和和型号等技术参数满足采购内容中的规格型号/技术要求，有国家、地方、行业标准、规范（含强制适用标准、规范和推荐适用标准、规范）的，按相应标准、规范执行（不同标准、规范之间要求不一的，按要求较高者执行）。 </w:t>
      </w:r>
    </w:p>
    <w:p>
      <w:pPr>
        <w:pStyle w:val="23"/>
        <w:spacing w:before="0" w:beforeAutospacing="0" w:after="0" w:afterAutospacing="0" w:line="360" w:lineRule="auto"/>
        <w:ind w:firstLine="480" w:firstLineChars="200"/>
        <w:rPr>
          <w:rFonts w:eastAsia="宋体"/>
          <w:kern w:val="2"/>
        </w:rPr>
      </w:pPr>
      <w:r>
        <w:rPr>
          <w:rFonts w:hint="eastAsia"/>
        </w:rPr>
        <w:t>2.乙方提供的</w:t>
      </w:r>
      <w:r>
        <w:rPr>
          <w:rFonts w:hint="eastAsia"/>
          <w:lang w:eastAsia="zh-CN"/>
        </w:rPr>
        <w:t>标准件（紧固件）</w:t>
      </w:r>
      <w:r>
        <w:rPr>
          <w:rFonts w:hint="eastAsia"/>
        </w:rPr>
        <w:t>必须为原厂正品，满足国标等级要求</w:t>
      </w:r>
      <w:r>
        <w:rPr>
          <w:rFonts w:hint="eastAsia"/>
          <w:lang w:eastAsia="zh-CN"/>
        </w:rPr>
        <w:t>，</w:t>
      </w:r>
      <w:r>
        <w:rPr>
          <w:rFonts w:hint="eastAsia"/>
        </w:rPr>
        <w:t>不得为假冒伪劣产品</w:t>
      </w:r>
      <w:r>
        <w:rPr>
          <w:rFonts w:hint="eastAsia"/>
          <w:lang w:eastAsia="zh-CN"/>
        </w:rPr>
        <w:t>。</w:t>
      </w:r>
    </w:p>
    <w:p>
      <w:pPr>
        <w:pStyle w:val="6"/>
        <w:ind w:firstLine="480" w:firstLineChars="200"/>
        <w:rPr>
          <w:rFonts w:hint="eastAsia"/>
          <w:lang w:val="en-US"/>
        </w:rPr>
      </w:pPr>
      <w:bookmarkStart w:id="393" w:name="_Toc14563"/>
      <w:bookmarkStart w:id="394" w:name="_Toc1125"/>
      <w:bookmarkStart w:id="395" w:name="_Toc6596"/>
      <w:r>
        <w:rPr>
          <w:rFonts w:hint="eastAsia"/>
          <w:lang w:val="en-US" w:eastAsia="zh-CN"/>
        </w:rPr>
        <w:t>3</w:t>
      </w:r>
      <w:r>
        <w:rPr>
          <w:rFonts w:hint="eastAsia"/>
          <w:lang w:val="en-US"/>
        </w:rPr>
        <w:t>.中标人提供的</w:t>
      </w:r>
      <w:r>
        <w:rPr>
          <w:rFonts w:hint="eastAsia"/>
          <w:lang w:val="en-US" w:eastAsia="zh-CN"/>
        </w:rPr>
        <w:t>标准件（紧固件）</w:t>
      </w:r>
      <w:r>
        <w:rPr>
          <w:rFonts w:hint="eastAsia"/>
          <w:lang w:val="en-US"/>
        </w:rPr>
        <w:t>生产日期必须为</w:t>
      </w:r>
      <w:r>
        <w:rPr>
          <w:rFonts w:hint="eastAsia"/>
          <w:lang w:val="en-US" w:eastAsia="zh-CN"/>
        </w:rPr>
        <w:t>6个</w:t>
      </w:r>
      <w:r>
        <w:rPr>
          <w:rFonts w:hint="eastAsia"/>
          <w:lang w:val="en-US"/>
        </w:rPr>
        <w:t>月内；</w:t>
      </w:r>
    </w:p>
    <w:p>
      <w:pPr>
        <w:spacing w:line="360" w:lineRule="auto"/>
        <w:ind w:firstLine="482" w:firstLineChars="200"/>
        <w:outlineLvl w:val="0"/>
        <w:rPr>
          <w:rFonts w:ascii="宋体" w:hAnsi="宋体" w:cs="宋体"/>
          <w:b/>
          <w:sz w:val="24"/>
        </w:rPr>
      </w:pPr>
      <w:r>
        <w:rPr>
          <w:rFonts w:hint="eastAsia" w:ascii="宋体" w:hAnsi="宋体" w:cs="宋体"/>
          <w:b/>
          <w:sz w:val="24"/>
        </w:rPr>
        <w:t>五、服务要求</w:t>
      </w:r>
    </w:p>
    <w:p>
      <w:pPr>
        <w:pStyle w:val="6"/>
        <w:ind w:firstLine="480" w:firstLineChars="200"/>
        <w:rPr>
          <w:lang w:val="en-US"/>
        </w:rPr>
      </w:pPr>
      <w:r>
        <w:rPr>
          <w:rFonts w:hint="eastAsia"/>
          <w:lang w:val="en-US"/>
        </w:rPr>
        <w:t>1.根据甲方生产计划，确定送货数量要求，</w:t>
      </w:r>
      <w:r>
        <w:rPr>
          <w:rFonts w:hint="eastAsia"/>
          <w:lang w:val="en-US" w:eastAsia="zh-CN"/>
        </w:rPr>
        <w:t>一次性供货</w:t>
      </w:r>
      <w:r>
        <w:rPr>
          <w:rFonts w:hint="eastAsia"/>
          <w:lang w:val="en-US"/>
        </w:rPr>
        <w:t>，乙方负责在接到甲方电话或书面通知后在</w:t>
      </w:r>
      <w:r>
        <w:rPr>
          <w:rFonts w:hint="eastAsia"/>
          <w:lang w:val="en-US" w:eastAsia="zh-CN"/>
        </w:rPr>
        <w:t>15日内</w:t>
      </w:r>
      <w:r>
        <w:rPr>
          <w:rFonts w:hint="eastAsia"/>
          <w:lang w:val="en-US"/>
        </w:rPr>
        <w:t>完成供货。乙方负责卸货</w:t>
      </w:r>
      <w:r>
        <w:rPr>
          <w:rFonts w:hint="eastAsia"/>
          <w:lang w:val="en-US" w:eastAsia="zh-CN"/>
        </w:rPr>
        <w:t>，卸货过程中乙方的人和物的安全责任全部由乙方自行承担，与甲方无关。卸货</w:t>
      </w:r>
      <w:r>
        <w:rPr>
          <w:rFonts w:hint="eastAsia"/>
          <w:lang w:val="en-US"/>
        </w:rPr>
        <w:t>人工费由乙方承担，甲方可免费提供叉车服务。</w:t>
      </w:r>
    </w:p>
    <w:p>
      <w:pPr>
        <w:pStyle w:val="6"/>
        <w:ind w:firstLine="480" w:firstLineChars="200"/>
        <w:rPr>
          <w:lang w:val="en-US"/>
        </w:rPr>
      </w:pPr>
      <w:r>
        <w:rPr>
          <w:rFonts w:hint="eastAsia"/>
          <w:lang w:val="en-US"/>
        </w:rPr>
        <w:t>2.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pStyle w:val="6"/>
        <w:ind w:firstLine="480" w:firstLineChars="200"/>
        <w:rPr>
          <w:lang w:val="en-US"/>
        </w:rPr>
      </w:pPr>
      <w:r>
        <w:rPr>
          <w:rFonts w:hint="eastAsia"/>
          <w:lang w:val="en-US"/>
        </w:rPr>
        <w:t>3.甲方不再对任何售后服务进行付费。乙方的派遣人员产生的一切费用由供应商承担。</w:t>
      </w:r>
    </w:p>
    <w:p>
      <w:pPr>
        <w:pStyle w:val="6"/>
        <w:ind w:firstLine="480" w:firstLineChars="200"/>
      </w:pPr>
      <w:r>
        <w:rPr>
          <w:u w:val="single"/>
          <w:lang w:val="en-US"/>
        </w:rPr>
        <w:t>4</w:t>
      </w:r>
      <w:r>
        <w:rPr>
          <w:rFonts w:hint="eastAsia"/>
          <w:u w:val="single"/>
          <w:lang w:val="en-US"/>
        </w:rPr>
        <w:t>.在</w:t>
      </w:r>
      <w:r>
        <w:rPr>
          <w:rFonts w:hint="eastAsia"/>
          <w:u w:val="single"/>
          <w:lang w:val="en-US" w:eastAsia="zh-CN"/>
        </w:rPr>
        <w:t>设备</w:t>
      </w:r>
      <w:r>
        <w:rPr>
          <w:rFonts w:hint="eastAsia"/>
          <w:u w:val="single"/>
          <w:lang w:val="en-US"/>
        </w:rPr>
        <w:t>使用过程中，造成甲方机械设备故障或货物损坏，由乙方承担</w:t>
      </w:r>
      <w:r>
        <w:rPr>
          <w:rFonts w:hint="eastAsia"/>
          <w:u w:val="single"/>
          <w:lang w:val="en-US" w:eastAsia="zh-CN"/>
        </w:rPr>
        <w:t>甲方</w:t>
      </w:r>
      <w:r>
        <w:rPr>
          <w:rFonts w:hint="eastAsia"/>
          <w:u w:val="single"/>
          <w:lang w:val="en-US"/>
        </w:rPr>
        <w:t>的一切损失，包括直接和间接损失。</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证明货物符合合同约定的文件是指包括但不限于合格证、检测报告（制造厂家或者第三方机构）、质量承诺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spacing w:line="360" w:lineRule="auto"/>
        <w:ind w:firstLine="480" w:firstLineChars="200"/>
        <w:outlineLvl w:val="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pStyle w:val="6"/>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rPr>
          <w:u w:val="single"/>
          <w:lang w:val="en-US"/>
        </w:rPr>
      </w:pPr>
      <w:r>
        <w:rPr>
          <w:rFonts w:ascii="宋体" w:hAnsi="宋体" w:eastAsia="宋体" w:cs="宋体"/>
          <w:sz w:val="24"/>
        </w:rPr>
        <w:t>1.</w:t>
      </w:r>
      <w:r>
        <w:rPr>
          <w:rFonts w:hint="eastAsia" w:ascii="宋体" w:hAnsi="宋体" w:eastAsia="宋体" w:cs="宋体"/>
          <w:sz w:val="24"/>
        </w:rPr>
        <w:t xml:space="preserve"> </w:t>
      </w:r>
      <w:r>
        <w:rPr>
          <w:rFonts w:hint="eastAsia" w:ascii="宋体" w:hAnsi="宋体" w:eastAsia="宋体" w:cs="宋体"/>
          <w:sz w:val="24"/>
          <w:u w:val="single"/>
          <w:lang w:val="en-US" w:eastAsia="zh-CN"/>
        </w:rPr>
        <w:t xml:space="preserve">无     </w:t>
      </w:r>
    </w:p>
    <w:p>
      <w:pPr>
        <w:pStyle w:val="6"/>
        <w:ind w:firstLine="482" w:firstLineChars="200"/>
        <w:rPr>
          <w:rFonts w:eastAsia="宋体"/>
          <w:b/>
        </w:rPr>
      </w:pPr>
      <w:r>
        <w:rPr>
          <w:rFonts w:hint="eastAsia" w:hAnsi="宋体"/>
          <w:b/>
          <w:lang w:val="en-US"/>
        </w:rPr>
        <w:t>八、</w:t>
      </w:r>
      <w:r>
        <w:rPr>
          <w:rFonts w:hint="eastAsia"/>
          <w:b/>
        </w:rPr>
        <w:t>履约保证金</w:t>
      </w:r>
    </w:p>
    <w:p>
      <w:pPr>
        <w:pStyle w:val="23"/>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2.履约保证金支付时间：乙方应于本合同签订前按招标文件和本合同约定的支付履约保证金；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3"/>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3"/>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3"/>
        <w:spacing w:before="0" w:beforeAutospacing="0" w:after="0" w:afterAutospacing="0" w:line="360" w:lineRule="auto"/>
        <w:ind w:firstLine="480"/>
        <w:rPr>
          <w:b/>
          <w:bCs/>
        </w:rPr>
      </w:pPr>
      <w:r>
        <w:rPr>
          <w:rFonts w:hint="eastAsia"/>
          <w:b/>
          <w:bCs/>
        </w:rPr>
        <w:t>十、资金支付</w:t>
      </w:r>
    </w:p>
    <w:p>
      <w:pPr>
        <w:pStyle w:val="23"/>
        <w:spacing w:before="0" w:beforeAutospacing="0" w:after="0" w:afterAutospacing="0" w:line="360" w:lineRule="auto"/>
        <w:ind w:firstLine="480"/>
      </w:pPr>
      <w:bookmarkStart w:id="396" w:name="_Toc2846"/>
      <w:bookmarkStart w:id="397" w:name="_Toc19304"/>
      <w:bookmarkStart w:id="398" w:name="_Toc32071"/>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3"/>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b/>
          <w:bCs/>
          <w:i/>
          <w:iCs/>
          <w:u w:val="single"/>
        </w:rPr>
        <w:t>/</w:t>
      </w:r>
      <w:r>
        <w:rPr>
          <w:rFonts w:hint="eastAsia"/>
          <w:u w:val="single"/>
        </w:rPr>
        <w:t xml:space="preserve"> </w:t>
      </w:r>
      <w:r>
        <w:rPr>
          <w:rFonts w:hint="eastAsia"/>
        </w:rPr>
        <w:t>%；</w:t>
      </w:r>
    </w:p>
    <w:p>
      <w:pPr>
        <w:pStyle w:val="23"/>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3"/>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rFonts w:hint="eastAsia"/>
          <w:u w:val="single"/>
          <w:lang w:val="en-US" w:eastAsia="zh-CN"/>
        </w:rPr>
        <w:t>3</w:t>
      </w:r>
      <w:r>
        <w:rPr>
          <w:rFonts w:hint="eastAsia"/>
          <w:u w:val="single"/>
        </w:rPr>
        <w:t>）</w:t>
      </w:r>
      <w:r>
        <w:rPr>
          <w:rFonts w:hint="eastAsia"/>
        </w:rPr>
        <w:t>条款规定：</w:t>
      </w:r>
    </w:p>
    <w:p>
      <w:pPr>
        <w:pStyle w:val="23"/>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 xml:space="preserve">（3）一次性付款，经甲方验收合格后，甲方收到乙方提供的增值税专用发票后，甲方在本合同约定时间内完成支付。  </w:t>
      </w:r>
    </w:p>
    <w:p>
      <w:pPr>
        <w:pStyle w:val="23"/>
        <w:spacing w:before="0" w:beforeAutospacing="0" w:after="0" w:afterAutospacing="0" w:line="360" w:lineRule="auto"/>
        <w:ind w:firstLine="480" w:firstLineChars="200"/>
      </w:pPr>
      <w:r>
        <w:rPr>
          <w:rFonts w:hint="eastAsia"/>
        </w:rPr>
        <w:t>（4）</w:t>
      </w:r>
      <w:r>
        <w:rPr>
          <w:rFonts w:hint="eastAsia"/>
          <w:u w:val="single"/>
        </w:rPr>
        <w:t xml:space="preserve">其他付款方式：      </w:t>
      </w:r>
      <w:r>
        <w:rPr>
          <w:rFonts w:hint="eastAsia"/>
          <w:u w:val="single"/>
          <w:lang w:val="en-US" w:eastAsia="zh-CN"/>
        </w:rPr>
        <w:t>/</w:t>
      </w:r>
      <w:r>
        <w:rPr>
          <w:rFonts w:hint="eastAsia"/>
          <w:u w:val="single"/>
        </w:rPr>
        <w:t xml:space="preserve">       </w:t>
      </w:r>
      <w:r>
        <w:rPr>
          <w:rFonts w:hint="eastAsia"/>
        </w:rPr>
        <w:t xml:space="preserve">。         </w:t>
      </w:r>
    </w:p>
    <w:bookmarkEnd w:id="396"/>
    <w:bookmarkEnd w:id="397"/>
    <w:bookmarkEnd w:id="398"/>
    <w:p>
      <w:pPr>
        <w:spacing w:line="360" w:lineRule="auto"/>
        <w:ind w:firstLine="482" w:firstLineChars="200"/>
        <w:outlineLvl w:val="0"/>
        <w:rPr>
          <w:rFonts w:ascii="宋体" w:hAnsi="宋体" w:cs="宋体"/>
          <w:b/>
          <w:sz w:val="24"/>
        </w:rPr>
      </w:pPr>
      <w:bookmarkStart w:id="399" w:name="_Toc21423"/>
      <w:bookmarkStart w:id="400" w:name="_Toc27250"/>
      <w:bookmarkStart w:id="401" w:name="_Toc19554"/>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 xml:space="preserve">%计算，迟延交付货物 </w:t>
      </w:r>
      <w:r>
        <w:rPr>
          <w:rFonts w:hint="eastAsia" w:ascii="宋体" w:hAnsi="宋体" w:cs="宋体"/>
          <w:sz w:val="24"/>
          <w:u w:val="single"/>
        </w:rPr>
        <w:t xml:space="preserve"> </w:t>
      </w:r>
      <w:r>
        <w:rPr>
          <w:rFonts w:hint="eastAsia" w:ascii="宋体" w:hAnsi="宋体" w:cs="宋体"/>
          <w:sz w:val="24"/>
          <w:u w:val="single"/>
          <w:lang w:val="en-US" w:eastAsia="zh-CN"/>
        </w:rPr>
        <w:t>15</w:t>
      </w:r>
      <w:r>
        <w:rPr>
          <w:rFonts w:hint="eastAsia" w:ascii="宋体" w:hAnsi="宋体" w:cs="宋体"/>
          <w:sz w:val="24"/>
          <w:u w:val="single"/>
        </w:rPr>
        <w:t xml:space="preserve"> </w:t>
      </w:r>
      <w:r>
        <w:rPr>
          <w:rFonts w:hint="eastAsia" w:ascii="宋体" w:hAnsi="宋体" w:cs="宋体"/>
          <w:sz w:val="24"/>
        </w:rPr>
        <w:t>天的，甲方有权单方解除本合同，并要求乙方一次性承担（□本合同累计已发生金额/</w:t>
      </w:r>
      <w:r>
        <w:rPr>
          <w:rFonts w:hint="eastAsia" w:ascii="宋体" w:hAnsi="宋体" w:cs="宋体"/>
          <w:sz w:val="24"/>
        </w:rPr>
        <w:sym w:font="Wingdings 2" w:char="0052"/>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   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16021"/>
      <w:bookmarkStart w:id="403" w:name="_Toc15583"/>
      <w:bookmarkStart w:id="404" w:name="_Toc28375"/>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 w:val="0"/>
          <w:iCs/>
          <w:sz w:val="24"/>
          <w:u w:val="single"/>
        </w:rPr>
        <w:t xml:space="preserve">2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5" w:name="_Toc15322"/>
      <w:bookmarkStart w:id="406" w:name="_Toc7245"/>
      <w:bookmarkStart w:id="407" w:name="_Toc11173"/>
      <w:r>
        <w:rPr>
          <w:rFonts w:hint="eastAsia" w:ascii="宋体" w:hAnsi="宋体" w:cs="宋体"/>
          <w:sz w:val="24"/>
        </w:rPr>
        <w:t>1.将争议提交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2"/>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p>
      <w:pPr>
        <w:pStyle w:val="22"/>
        <w:ind w:left="0" w:leftChars="0" w:firstLine="0" w:firstLineChars="0"/>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Ref467379094"/>
      <w:bookmarkStart w:id="409" w:name="_Ref467379214"/>
      <w:bookmarkStart w:id="410" w:name="_Ref467379225"/>
      <w:bookmarkStart w:id="411" w:name="_Ref467379101"/>
      <w:bookmarkStart w:id="412" w:name="_Ref467379195"/>
      <w:bookmarkStart w:id="413" w:name="_Toc259093669"/>
      <w:bookmarkStart w:id="414" w:name="_Ref467378499"/>
      <w:bookmarkStart w:id="415" w:name="_Ref467379205"/>
      <w:bookmarkStart w:id="416" w:name="_Ref467378404"/>
      <w:bookmarkStart w:id="417" w:name="_Toc28763"/>
      <w:bookmarkStart w:id="418" w:name="_Toc279701240"/>
      <w:bookmarkStart w:id="419" w:name="_Ref467379109"/>
      <w:bookmarkStart w:id="420" w:name="_Ref467378463"/>
      <w:bookmarkStart w:id="421" w:name="_Toc19614"/>
      <w:bookmarkStart w:id="422" w:name="_Toc487900349"/>
      <w:bookmarkStart w:id="423" w:name="_Toc16917"/>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279701241"/>
      <w:bookmarkStart w:id="428" w:name="_Toc27635"/>
      <w:bookmarkStart w:id="429" w:name="_Toc13336"/>
      <w:bookmarkStart w:id="430" w:name="_Toc487900350"/>
      <w:bookmarkStart w:id="431" w:name="_Toc259093670"/>
      <w:bookmarkStart w:id="432" w:name="_Toc32504"/>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9829"/>
      <w:bookmarkStart w:id="434" w:name="_Toc27853"/>
      <w:bookmarkStart w:id="435" w:name="_Toc279701242"/>
      <w:bookmarkStart w:id="436" w:name="_Toc487900351"/>
      <w:bookmarkStart w:id="437" w:name="_Toc31634"/>
      <w:bookmarkStart w:id="438" w:name="_Toc259093671"/>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4194"/>
      <w:bookmarkStart w:id="440" w:name="_Toc11932"/>
      <w:bookmarkStart w:id="441" w:name="_Toc29149"/>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（1）乙方送货每批物资必须要附甲方采购订单、送货单、合格证或者检测报告，否则甲方有权拒收；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19074"/>
      <w:bookmarkStart w:id="443" w:name="_Toc30272"/>
      <w:bookmarkStart w:id="444" w:name="_Toc2618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Toc259093676"/>
      <w:bookmarkStart w:id="447" w:name="_Toc487900357"/>
      <w:bookmarkStart w:id="448" w:name="_Ref467379793"/>
      <w:bookmarkStart w:id="449" w:name="_Toc279701247"/>
      <w:bookmarkStart w:id="450" w:name="_Ref467379807"/>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Ref467379863"/>
      <w:bookmarkStart w:id="453" w:name="_Toc279701248"/>
      <w:bookmarkStart w:id="454" w:name="_Toc259093677"/>
      <w:bookmarkStart w:id="455" w:name="_Toc487900358"/>
      <w:bookmarkStart w:id="456" w:name="_Ref467379852"/>
      <w:bookmarkStart w:id="457" w:name="_Ref467379923"/>
      <w:bookmarkStart w:id="458" w:name="_Toc3225"/>
      <w:bookmarkStart w:id="459" w:name="_Toc16110"/>
      <w:bookmarkStart w:id="460" w:name="_Toc774"/>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59093681"/>
      <w:bookmarkStart w:id="464" w:name="_Toc487900362"/>
      <w:bookmarkStart w:id="465" w:name="_Toc27970125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Toc279701254"/>
      <w:bookmarkStart w:id="469" w:name="_Toc259093683"/>
      <w:bookmarkStart w:id="470" w:name="_Ref467378121"/>
      <w:bookmarkStart w:id="471" w:name="_Toc487900364"/>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487900369"/>
      <w:bookmarkStart w:id="473" w:name="_Toc279701259"/>
      <w:bookmarkStart w:id="474" w:name="_Toc259093688"/>
      <w:bookmarkStart w:id="475" w:name="_Toc22955"/>
      <w:bookmarkStart w:id="476" w:name="_Toc15237"/>
      <w:bookmarkStart w:id="477" w:name="_Toc10366"/>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4066"/>
      <w:bookmarkStart w:id="479" w:name="_Toc13566"/>
      <w:bookmarkStart w:id="480" w:name="_Toc16508"/>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487900365"/>
      <w:bookmarkStart w:id="482" w:name="_Toc259093684"/>
      <w:bookmarkStart w:id="483" w:name="_Toc689"/>
      <w:bookmarkStart w:id="484" w:name="_Toc279701255"/>
      <w:bookmarkStart w:id="485" w:name="_Toc6969"/>
      <w:bookmarkStart w:id="486" w:name="_Toc30676"/>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279701258"/>
      <w:bookmarkStart w:id="488" w:name="_Toc259093687"/>
      <w:bookmarkStart w:id="489" w:name="_Toc487900368"/>
      <w:bookmarkStart w:id="490" w:name="_Toc16959"/>
      <w:bookmarkStart w:id="491" w:name="_Toc7102"/>
      <w:bookmarkStart w:id="492" w:name="_Toc8298"/>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6134"/>
      <w:bookmarkStart w:id="494" w:name="_Toc29333"/>
      <w:bookmarkStart w:id="495" w:name="_Toc15387"/>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487900371"/>
      <w:bookmarkStart w:id="497" w:name="_Toc259093690"/>
      <w:bookmarkStart w:id="498" w:name="_Toc279701261"/>
      <w:bookmarkStart w:id="499" w:name="_Toc11284"/>
      <w:bookmarkStart w:id="500" w:name="_Toc19604"/>
      <w:bookmarkStart w:id="501" w:name="_Toc25182"/>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27674"/>
      <w:bookmarkStart w:id="503" w:name="_Toc18401"/>
      <w:bookmarkStart w:id="504" w:name="_Toc487900372"/>
      <w:bookmarkStart w:id="505" w:name="_Toc279701262"/>
      <w:bookmarkStart w:id="506" w:name="_Toc30599"/>
      <w:bookmarkStart w:id="507" w:name="_Toc18540"/>
      <w:bookmarkStart w:id="508" w:name="_Toc259093691"/>
      <w:bookmarkStart w:id="509" w:name="_Toc4355"/>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u w:val="single"/>
          <w:lang w:val="en-US" w:eastAsia="zh-CN"/>
        </w:rPr>
        <w:t>510183657@qq.com</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bookmarkStart w:id="510" w:name="_Toc18567"/>
      <w:bookmarkStart w:id="511" w:name="_Toc487900373"/>
      <w:bookmarkStart w:id="512" w:name="_Toc279701263"/>
      <w:bookmarkStart w:id="513" w:name="_Toc10330"/>
      <w:bookmarkStart w:id="514" w:name="_Toc259093692"/>
      <w:bookmarkStart w:id="515" w:name="_Toc12773"/>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统一社会信用代码或身份证号码：91330100MA2B02NX2L</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sz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pStyle w:val="22"/>
        <w:spacing w:line="560" w:lineRule="exact"/>
        <w:ind w:left="0" w:leftChars="0" w:firstLine="0" w:firstLineChars="0"/>
        <w:jc w:val="both"/>
        <w:rPr>
          <w:rFonts w:hint="eastAsia" w:ascii="宋体" w:hAnsi="宋体" w:cs="宋体"/>
          <w:kern w:val="0"/>
        </w:rPr>
      </w:pPr>
    </w:p>
    <w:p>
      <w:pPr>
        <w:pStyle w:val="22"/>
        <w:spacing w:line="560" w:lineRule="exact"/>
        <w:ind w:left="0" w:leftChars="0" w:firstLine="0" w:firstLineChars="0"/>
        <w:jc w:val="both"/>
        <w:rPr>
          <w:rFonts w:hint="eastAsia" w:ascii="宋体" w:hAnsi="宋体" w:cs="宋体"/>
          <w:kern w:val="0"/>
        </w:rPr>
      </w:pPr>
    </w:p>
    <w:p>
      <w:pPr>
        <w:pStyle w:val="22"/>
        <w:spacing w:line="560" w:lineRule="exact"/>
        <w:ind w:left="0" w:leftChars="0" w:firstLine="0" w:firstLineChars="0"/>
        <w:jc w:val="both"/>
        <w:rPr>
          <w:rFonts w:hint="eastAsia" w:ascii="宋体" w:hAnsi="宋体" w:cs="宋体"/>
          <w:kern w:val="0"/>
        </w:rPr>
      </w:pPr>
    </w:p>
    <w:p>
      <w:pPr>
        <w:pStyle w:val="22"/>
        <w:spacing w:line="560" w:lineRule="exact"/>
        <w:ind w:left="0" w:leftChars="0" w:firstLine="0" w:firstLineChars="0"/>
        <w:jc w:val="both"/>
        <w:rPr>
          <w:rFonts w:hint="eastAsia" w:ascii="宋体" w:hAnsi="宋体" w:cs="宋体"/>
          <w:kern w:val="0"/>
        </w:rPr>
      </w:pPr>
    </w:p>
    <w:p>
      <w:pPr>
        <w:pStyle w:val="22"/>
        <w:spacing w:line="560" w:lineRule="exact"/>
        <w:ind w:left="0" w:leftChars="0" w:firstLine="0" w:firstLineChars="0"/>
        <w:jc w:val="both"/>
        <w:rPr>
          <w:rFonts w:hint="eastAsia" w:ascii="宋体" w:hAnsi="宋体" w:cs="宋体"/>
          <w:kern w:val="0"/>
        </w:rPr>
      </w:pPr>
    </w:p>
    <w:p>
      <w:pPr>
        <w:pStyle w:val="9"/>
        <w:rPr>
          <w:rFonts w:hint="eastAsia" w:ascii="宋体" w:hAnsi="宋体" w:cs="宋体"/>
          <w:kern w:val="0"/>
        </w:rPr>
      </w:pPr>
    </w:p>
    <w:p>
      <w:pPr>
        <w:pStyle w:val="9"/>
        <w:rPr>
          <w:rFonts w:hint="eastAsia" w:ascii="宋体" w:hAnsi="宋体" w:cs="宋体"/>
          <w:kern w:val="0"/>
        </w:rPr>
      </w:pPr>
    </w:p>
    <w:p>
      <w:pPr>
        <w:pStyle w:val="9"/>
        <w:rPr>
          <w:rFonts w:hint="eastAsia" w:ascii="宋体" w:hAnsi="宋体" w:cs="宋体"/>
          <w:kern w:val="0"/>
        </w:rPr>
      </w:pPr>
    </w:p>
    <w:p>
      <w:pPr>
        <w:pStyle w:val="9"/>
        <w:rPr>
          <w:rFonts w:hint="eastAsia" w:ascii="宋体" w:hAnsi="宋体" w:cs="宋体"/>
          <w:kern w:val="0"/>
        </w:rPr>
      </w:pPr>
    </w:p>
    <w:p>
      <w:pPr>
        <w:pStyle w:val="9"/>
        <w:rPr>
          <w:rFonts w:hint="eastAsia" w:ascii="宋体" w:hAnsi="宋体" w:cs="宋体"/>
          <w:kern w:val="0"/>
        </w:rPr>
      </w:pPr>
    </w:p>
    <w:p>
      <w:pPr>
        <w:pStyle w:val="9"/>
        <w:rPr>
          <w:rFonts w:hint="eastAsia" w:ascii="宋体" w:hAnsi="宋体" w:cs="宋体"/>
          <w:kern w:val="0"/>
        </w:rPr>
      </w:pPr>
    </w:p>
    <w:p>
      <w:pPr>
        <w:pStyle w:val="9"/>
        <w:jc w:val="center"/>
        <w:rPr>
          <w:rFonts w:hint="eastAsia" w:ascii="宋体" w:hAnsi="宋体" w:cs="宋体"/>
          <w:b/>
          <w:bCs/>
          <w:kern w:val="0"/>
          <w:sz w:val="32"/>
          <w:szCs w:val="32"/>
        </w:rPr>
      </w:pPr>
      <w:r>
        <w:rPr>
          <w:rFonts w:hint="eastAsia" w:cs="宋体"/>
          <w:b/>
          <w:bCs/>
          <w:kern w:val="0"/>
          <w:sz w:val="32"/>
          <w:szCs w:val="32"/>
          <w:lang w:val="en-US" w:eastAsia="zh-CN"/>
        </w:rPr>
        <w:t>合同清单</w:t>
      </w:r>
    </w:p>
    <w:tbl>
      <w:tblPr>
        <w:tblStyle w:val="14"/>
        <w:tblW w:w="920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5"/>
        <w:gridCol w:w="1226"/>
        <w:gridCol w:w="1107"/>
        <w:gridCol w:w="2680"/>
        <w:gridCol w:w="720"/>
        <w:gridCol w:w="934"/>
        <w:gridCol w:w="933"/>
        <w:gridCol w:w="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物资名称</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内六角螺栓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M5*40 全螺纹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M5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M5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M5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内六角螺栓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M6*40 全螺纹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M6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M6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M6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内六角螺栓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M8*40 全螺纹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M8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M8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M8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内六角螺栓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M10*50 全螺纹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M10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M10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M10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内六角螺栓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M12*65 全螺纹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M12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M12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M12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内六角螺栓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M14*65 全螺纹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M14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M14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M14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内六角螺栓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M16*70 全螺纹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内六角螺栓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M16*90 全螺纹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内六角螺栓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M16*120 全螺纹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M16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M16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M16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内六角螺栓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M20*80 全螺纹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内六角螺栓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M20*120 全螺纹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M20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M20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M20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内六角螺栓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M24*90 全螺纹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内六角螺栓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M24*130 全螺纹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M24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M24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M24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膨胀螺栓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M10*80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膨胀螺栓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M8*100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膨胀螺栓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M10*100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膨胀螺栓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M12*100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膨胀螺栓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M14*120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膨胀螺栓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M16*100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膨胀螺栓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M16*150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M10*40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M10*60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M10*70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M12*50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M12*70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M12*80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M12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M12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M12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M14*60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M14*90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M14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M14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M14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M16*60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M16*80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M16*100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M16*120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M16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M16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M16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M20*70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M20*90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M20*100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M20*130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M22*80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M22*90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M22*100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M22*120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M22*140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M22*180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M22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M22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M22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双头M30*180  304不锈钢</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M30 304不锈钢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M30*155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弹垫</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六角头螺栓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M30*270 半螺纹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六角头螺栓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M30*110 半螺纹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M30*160 8.8级碳钢 半牙</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内六角螺栓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M10*60  14.9级（全丝）</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M10 14.9级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内六角螺栓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M12*65 全螺纹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M12 10.9级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活接螺栓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M10*100  8.8级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活接螺栓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M16*120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M20*58 A型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M20*160 A型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M14*90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M24*145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M24*180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M24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M27*145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M27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M30*155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M33*200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M33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M16*60   不锈钢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M16 不锈钢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沉头螺栓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M12*55mm  12.9级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M12 12.9级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六角头螺栓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M30*110 半螺纹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六角头螺栓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M30*270 半螺纹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内六角螺栓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不锈钢316 M4*20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M4 8.8级 不锈钢316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内六角螺栓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不锈钢316  M6*40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M6 8.8级 不锈钢316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8.8级   M24*150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M24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8.8级   M20*200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8.8级   M12*100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M12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8.8级   M24*50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M24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8.8级   M22*50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M22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8.8级   M14*100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M14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M20 *80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M24x100 12.9级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M24 12.9级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8.8级全螺栓   M22*120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M22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M10*30   4.8级   镀锌     全丝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M10 8.8级 镀锌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8.8级   M18*200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M18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M14*65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M14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M12*40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M12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 M30*180  304不锈钢</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M30 8.8级 304不锈钢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M22*120mm 全螺纹8.8级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M22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304不锈钢  M8*20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M8 8.8级 304不锈钢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8.8级  M24*75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M24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M30*160 8.8级  半牙</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M20*220 8.8级  半牙</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M27*110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M27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M20*40   8.8级   全丝</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M20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M12*45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M12 8.8级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M16*180   镀锌</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M16 8.8级 镀锌</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22"/>
        <w:spacing w:line="560" w:lineRule="exact"/>
        <w:ind w:left="0" w:leftChars="0" w:firstLine="0" w:firstLineChars="0"/>
        <w:jc w:val="both"/>
        <w:rPr>
          <w:rFonts w:hint="eastAsia" w:ascii="宋体" w:hAnsi="宋体" w:cs="宋体"/>
          <w:kern w:val="0"/>
        </w:rPr>
      </w:pPr>
    </w:p>
    <w:p>
      <w:pPr>
        <w:pStyle w:val="22"/>
        <w:spacing w:line="560" w:lineRule="exact"/>
        <w:ind w:left="0" w:leftChars="0" w:firstLine="0" w:firstLineChars="0"/>
        <w:jc w:val="both"/>
        <w:rPr>
          <w:rFonts w:ascii="宋体" w:hAnsi="宋体" w:cs="Times New Roman"/>
          <w:b/>
          <w:szCs w:val="24"/>
        </w:rPr>
      </w:pPr>
      <w:r>
        <w:rPr>
          <w:rFonts w:hint="eastAsia" w:ascii="宋体" w:hAnsi="宋体" w:cs="宋体"/>
          <w:kern w:val="0"/>
        </w:rPr>
        <w:br w:type="page"/>
      </w:r>
    </w:p>
    <w:p>
      <w:pPr>
        <w:pStyle w:val="22"/>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甲、乙双方应共同严格遵守国家和省市以及招标人主管部门关于市场准入、项目招标投标、市场经济活动等有关法律、法规和相关政策，以及项目廉政建设的各项规定。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乙方贿赂甲方人员的，被纪检监察部门或检察机关立案查处的，甲方有权中止项目合同，由此造成甲方的损失以及一切费用均由乙方承担。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Pr>
        <w:adjustRightInd w:val="0"/>
        <w:spacing w:line="360" w:lineRule="auto"/>
        <w:ind w:firstLine="32"/>
        <w:rPr>
          <w:rFonts w:ascii="宋体" w:hAnsi="宋体" w:cs="宋体"/>
          <w:color w:val="000000"/>
          <w:sz w:val="24"/>
        </w:rPr>
      </w:pPr>
      <w:r>
        <w:rPr>
          <w:rFonts w:hint="eastAsia" w:ascii="宋体" w:hAnsi="宋体" w:eastAsia="宋体" w:cs="宋体"/>
          <w:b/>
          <w:bCs/>
          <w:color w:val="000000"/>
          <w:sz w:val="24"/>
        </w:rPr>
        <w:t>甲方（盖章）</w:t>
      </w:r>
      <w:r>
        <w:rPr>
          <w:rFonts w:hint="eastAsia" w:ascii="宋体" w:hAnsi="宋体" w:eastAsia="宋体" w:cs="宋体"/>
          <w:color w:val="000000"/>
          <w:sz w:val="24"/>
        </w:rPr>
        <w:t>：</w:t>
      </w:r>
      <w:r>
        <w:rPr>
          <w:rFonts w:hint="eastAsia" w:ascii="宋体" w:hAnsi="宋体" w:cs="宋体"/>
          <w:color w:val="000000"/>
          <w:sz w:val="24"/>
        </w:rPr>
        <w:t>杭州临江环境能源有限公司</w:t>
      </w:r>
    </w:p>
    <w:p>
      <w:pPr>
        <w:adjustRightInd w:val="0"/>
        <w:spacing w:line="360" w:lineRule="auto"/>
        <w:ind w:firstLine="32"/>
        <w:rPr>
          <w:rFonts w:ascii="宋体" w:hAnsi="宋体" w:eastAsia="宋体" w:cs="宋体"/>
          <w:color w:val="000000"/>
          <w:sz w:val="24"/>
        </w:rPr>
      </w:pPr>
      <w:r>
        <w:rPr>
          <w:rFonts w:hint="eastAsia" w:ascii="宋体" w:hAnsi="宋体" w:eastAsia="宋体" w:cs="宋体"/>
          <w:color w:val="000000"/>
          <w:sz w:val="24"/>
        </w:rPr>
        <w:t>法定代表人或受委托人（签字）：</w:t>
      </w:r>
      <w:r>
        <w:rPr>
          <w:rFonts w:hint="eastAsia" w:ascii="宋体" w:hAnsi="宋体" w:cs="宋体"/>
          <w:color w:val="000000"/>
          <w:sz w:val="24"/>
        </w:rPr>
        <w:t xml:space="preserve">          </w:t>
      </w:r>
    </w:p>
    <w:p>
      <w:pPr>
        <w:adjustRightInd w:val="0"/>
        <w:spacing w:line="360" w:lineRule="auto"/>
        <w:rPr>
          <w:rFonts w:ascii="宋体" w:hAnsi="宋体" w:eastAsia="宋体" w:cs="宋体"/>
          <w:color w:val="000000"/>
          <w:sz w:val="24"/>
        </w:rPr>
      </w:pPr>
    </w:p>
    <w:p>
      <w:pPr>
        <w:pStyle w:val="6"/>
      </w:pPr>
    </w:p>
    <w:p>
      <w:pPr>
        <w:adjustRightInd w:val="0"/>
        <w:spacing w:line="360" w:lineRule="auto"/>
        <w:rPr>
          <w:rFonts w:ascii="宋体" w:hAnsi="宋体" w:eastAsia="宋体" w:cs="宋体"/>
          <w:color w:val="000000"/>
          <w:sz w:val="24"/>
        </w:rPr>
      </w:pPr>
      <w:r>
        <w:rPr>
          <w:rFonts w:hint="eastAsia" w:ascii="宋体" w:hAnsi="宋体" w:eastAsia="宋体" w:cs="宋体"/>
          <w:b/>
          <w:bCs/>
          <w:color w:val="000000"/>
          <w:sz w:val="24"/>
        </w:rPr>
        <w:t>乙方（盖章）</w:t>
      </w:r>
      <w:r>
        <w:rPr>
          <w:rFonts w:hint="eastAsia" w:ascii="宋体" w:hAnsi="宋体" w:eastAsia="宋体" w:cs="宋体"/>
          <w:color w:val="000000"/>
          <w:sz w:val="24"/>
        </w:rPr>
        <w:t>：</w:t>
      </w:r>
    </w:p>
    <w:p>
      <w:pPr>
        <w:adjustRightInd w:val="0"/>
        <w:spacing w:line="360" w:lineRule="auto"/>
        <w:rPr>
          <w:rFonts w:ascii="宋体" w:hAnsi="宋体" w:eastAsia="宋体" w:cs="宋体"/>
          <w:sz w:val="24"/>
        </w:rPr>
      </w:pPr>
      <w:r>
        <w:rPr>
          <w:rFonts w:hint="eastAsia" w:ascii="宋体" w:hAnsi="宋体" w:eastAsia="宋体" w:cs="宋体"/>
          <w:color w:val="000000"/>
          <w:sz w:val="24"/>
        </w:rPr>
        <w:t>法定代表人或受委托人（签字）：</w:t>
      </w:r>
    </w:p>
    <w:p/>
    <w:p/>
    <w:p>
      <w:pPr>
        <w:pStyle w:val="6"/>
      </w:pPr>
    </w:p>
    <w:p/>
    <w:p>
      <w:pPr>
        <w:pStyle w:val="6"/>
      </w:pPr>
    </w:p>
    <w:p/>
    <w:p>
      <w:pPr>
        <w:pStyle w:val="6"/>
      </w:pPr>
    </w:p>
    <w:p>
      <w:pPr>
        <w:pStyle w:val="7"/>
        <w:ind w:firstLine="0"/>
      </w:pPr>
    </w:p>
    <w:p/>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4"/>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2023年临江公司标准件（紧固件）</w:t>
      </w:r>
      <w:r>
        <w:rPr>
          <w:rFonts w:hint="eastAsia" w:ascii="宋体" w:hAnsi="宋体" w:eastAsia="宋体" w:cs="宋体"/>
          <w:sz w:val="28"/>
          <w:szCs w:val="22"/>
          <w:u w:val="single"/>
        </w:rPr>
        <w:t xml:space="preserve">采购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8"/>
      </w:pPr>
    </w:p>
    <w:p/>
    <w:p>
      <w:pPr>
        <w:pStyle w:val="13"/>
        <w:rPr>
          <w:color w:val="auto"/>
        </w:rPr>
      </w:pPr>
    </w:p>
    <w:p/>
    <w:p>
      <w:pPr>
        <w:pStyle w:val="13"/>
      </w:pPr>
    </w:p>
    <w:p>
      <w:pPr>
        <w:pStyle w:val="6"/>
      </w:pPr>
    </w:p>
    <w:p/>
    <w:p>
      <w:pPr>
        <w:pStyle w:val="6"/>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2023年临江公司标准件（紧固件）</w:t>
      </w:r>
      <w:r>
        <w:rPr>
          <w:rFonts w:hint="eastAsia" w:cs="仿宋" w:asciiTheme="minorEastAsia" w:hAnsiTheme="minorEastAsia"/>
          <w:sz w:val="24"/>
          <w:u w:val="single"/>
        </w:rPr>
        <w:t>采购</w:t>
      </w:r>
      <w:r>
        <w:rPr>
          <w:rFonts w:hint="eastAsia" w:cs="仿宋" w:asciiTheme="minorEastAsia" w:hAnsiTheme="minorEastAsia"/>
          <w:sz w:val="24"/>
        </w:rPr>
        <w:t>【项目编号：</w:t>
      </w:r>
      <w:r>
        <w:rPr>
          <w:rFonts w:hint="eastAsia" w:cs="仿宋" w:asciiTheme="minorEastAsia" w:hAnsiTheme="minorEastAsia"/>
          <w:sz w:val="24"/>
          <w:u w:val="single"/>
          <w:lang w:eastAsia="zh-CN"/>
        </w:rPr>
        <w:t>202312020</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6"/>
      </w:pPr>
    </w:p>
    <w:p>
      <w:pPr>
        <w:pStyle w:val="7"/>
      </w:pPr>
    </w:p>
    <w:p/>
    <w:p>
      <w:pPr>
        <w:pStyle w:val="6"/>
      </w:pPr>
    </w:p>
    <w:p>
      <w:pPr>
        <w:pStyle w:val="7"/>
      </w:pPr>
    </w:p>
    <w:p/>
    <w:p>
      <w:pPr>
        <w:pStyle w:val="6"/>
      </w:pPr>
    </w:p>
    <w:p>
      <w:pPr>
        <w:pStyle w:val="7"/>
      </w:pPr>
    </w:p>
    <w:p/>
    <w:p>
      <w:pPr>
        <w:pStyle w:val="2"/>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6"/>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w:t>
      </w:r>
      <w:r>
        <w:rPr>
          <w:rFonts w:hint="eastAsia" w:cs="仿宋" w:asciiTheme="minorEastAsia" w:hAnsiTheme="minorEastAsia"/>
          <w:b w:val="0"/>
          <w:bCs w:val="0"/>
          <w:sz w:val="22"/>
          <w:szCs w:val="22"/>
        </w:rPr>
        <w:t>业绩证明材料</w:t>
      </w:r>
      <w:r>
        <w:rPr>
          <w:rFonts w:hint="eastAsia" w:cs="仿宋" w:asciiTheme="minorEastAsia" w:hAnsiTheme="minorEastAsia"/>
          <w:sz w:val="24"/>
        </w:rPr>
        <w:t>、特殊行业许可证书等；未要求的，无需提供）</w:t>
      </w: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6"/>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7"/>
        <w:ind w:left="0" w:leftChars="0" w:firstLine="0" w:firstLineChars="0"/>
      </w:pPr>
    </w:p>
    <w:p>
      <w:pPr>
        <w:pStyle w:val="8"/>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u w:val="single"/>
          <w:lang w:eastAsia="zh-CN"/>
        </w:rPr>
        <w:t>2023年临江公司标准件（紧固件）</w:t>
      </w:r>
      <w:r>
        <w:rPr>
          <w:rFonts w:hint="eastAsia" w:cs="仿宋" w:asciiTheme="minorEastAsia" w:hAnsiTheme="minorEastAsia"/>
          <w:sz w:val="24"/>
        </w:rPr>
        <w:t>【项目编号：</w:t>
      </w:r>
      <w:r>
        <w:rPr>
          <w:rFonts w:hint="eastAsia" w:cs="仿宋" w:asciiTheme="minorEastAsia" w:hAnsiTheme="minorEastAsia"/>
          <w:sz w:val="24"/>
          <w:lang w:eastAsia="zh-CN"/>
        </w:rPr>
        <w:t>202312020</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ascii="宋体" w:hAnsi="宋体" w:cs="宋体"/>
          <w:sz w:val="24"/>
          <w:u w:val="single"/>
        </w:rPr>
        <w:t xml:space="preserve">              </w:t>
      </w:r>
      <w:r>
        <w:rPr>
          <w:rFonts w:hint="eastAsia" w:cs="仿宋" w:asciiTheme="minorEastAsia" w:hAnsiTheme="minorEastAsia"/>
          <w:sz w:val="24"/>
        </w:rPr>
        <w:t>。</w:t>
      </w:r>
    </w:p>
    <w:p>
      <w:pPr>
        <w:pStyle w:val="6"/>
      </w:pPr>
    </w:p>
    <w:p>
      <w:pPr>
        <w:pStyle w:val="7"/>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lang w:val="en-US" w:eastAsia="zh-CN"/>
        </w:rPr>
        <w:t xml:space="preserve"> </w:t>
      </w:r>
      <w:r>
        <w:rPr>
          <w:rFonts w:hint="eastAsia" w:cs="仿宋" w:asciiTheme="minorEastAsia" w:hAnsiTheme="minorEastAsia"/>
          <w:kern w:val="0"/>
          <w:sz w:val="24"/>
          <w:u w:val="single"/>
          <w:lang w:eastAsia="zh-CN"/>
        </w:rPr>
        <w:t>2023年临江公司标准件（紧固件）</w:t>
      </w:r>
      <w:r>
        <w:rPr>
          <w:rFonts w:hint="eastAsia" w:cs="仿宋" w:asciiTheme="minorEastAsia" w:hAnsiTheme="minorEastAsia"/>
          <w:kern w:val="0"/>
          <w:sz w:val="24"/>
          <w:u w:val="single"/>
        </w:rPr>
        <w:t>【项目编号：</w:t>
      </w:r>
      <w:r>
        <w:rPr>
          <w:rFonts w:hint="eastAsia" w:cs="仿宋" w:asciiTheme="minorEastAsia" w:hAnsiTheme="minorEastAsia"/>
          <w:kern w:val="0"/>
          <w:sz w:val="24"/>
          <w:u w:val="single"/>
          <w:lang w:eastAsia="zh-CN"/>
        </w:rPr>
        <w:t>202312020</w:t>
      </w:r>
      <w:r>
        <w:rPr>
          <w:rFonts w:hint="eastAsia" w:cs="仿宋" w:asciiTheme="minorEastAsia" w:hAnsiTheme="minorEastAsia"/>
          <w:kern w:val="0"/>
          <w:sz w:val="24"/>
          <w:u w:val="single"/>
        </w:rPr>
        <w:t xml:space="preserve">】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pPr>
    </w:p>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响应文件满足询价采购文件的其它实质性要求。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7"/>
        <w:rPr>
          <w:rFonts w:cs="仿宋" w:asciiTheme="minorEastAsia" w:hAnsiTheme="minorEastAsia"/>
          <w:lang w:val="en-US"/>
        </w:rPr>
      </w:pPr>
    </w:p>
    <w:tbl>
      <w:tblPr>
        <w:tblStyle w:val="1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6"/>
        <w:rPr>
          <w:lang w:val="en-US"/>
        </w:rPr>
        <w:sectPr>
          <w:pgSz w:w="11906" w:h="16838"/>
          <w:pgMar w:top="1276" w:right="1418" w:bottom="1247" w:left="1418" w:header="851" w:footer="992" w:gutter="0"/>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6"/>
        <w:sectPr>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2"/>
        <w:rPr>
          <w:lang w:val="zh-CN"/>
        </w:rPr>
      </w:pPr>
    </w:p>
    <w:p>
      <w:pPr>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2"/>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w:t>
      </w:r>
      <w:r>
        <w:rPr>
          <w:rFonts w:hint="eastAsia" w:ascii="宋体" w:hAnsi="宋体" w:eastAsia="宋体" w:cs="宋体"/>
          <w:sz w:val="24"/>
          <w:u w:val="single"/>
          <w:lang w:eastAsia="zh-CN"/>
        </w:rPr>
        <w:t>2023年临江公司标准件（紧固件）</w:t>
      </w:r>
      <w:r>
        <w:rPr>
          <w:rFonts w:hint="eastAsia" w:ascii="宋体" w:hAnsi="宋体" w:eastAsia="宋体" w:cs="宋体"/>
          <w:sz w:val="24"/>
          <w:u w:val="single"/>
        </w:rPr>
        <w:t>【项目编号：</w:t>
      </w:r>
      <w:r>
        <w:rPr>
          <w:rFonts w:hint="eastAsia" w:ascii="宋体" w:hAnsi="宋体" w:eastAsia="宋体" w:cs="宋体"/>
          <w:sz w:val="24"/>
          <w:u w:val="single"/>
          <w:lang w:eastAsia="zh-CN"/>
        </w:rPr>
        <w:t>202312020</w:t>
      </w:r>
      <w:r>
        <w:rPr>
          <w:rFonts w:hint="eastAsia" w:ascii="宋体" w:hAnsi="宋体" w:eastAsia="宋体" w:cs="宋体"/>
          <w:sz w:val="24"/>
          <w:u w:val="single"/>
        </w:rPr>
        <w:t xml:space="preserve">】   </w:t>
      </w:r>
      <w:r>
        <w:rPr>
          <w:rFonts w:hint="eastAsia" w:ascii="宋体" w:hAnsi="宋体" w:eastAsia="宋体" w:cs="宋体"/>
          <w:sz w:val="24"/>
        </w:rPr>
        <w:t>采购活动，并作如下承诺：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pStyle w:val="2"/>
      </w:pPr>
    </w:p>
    <w:p>
      <w:pPr>
        <w:spacing w:line="360" w:lineRule="auto"/>
        <w:jc w:val="both"/>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4"/>
        <w:jc w:val="center"/>
        <w:rPr>
          <w:sz w:val="32"/>
          <w:szCs w:val="32"/>
        </w:rPr>
      </w:pPr>
      <w:r>
        <w:rPr>
          <w:rFonts w:hint="eastAsia"/>
          <w:sz w:val="32"/>
          <w:szCs w:val="32"/>
        </w:rPr>
        <w:t>一 、 报价函</w:t>
      </w:r>
    </w:p>
    <w:p>
      <w:pPr>
        <w:pStyle w:val="6"/>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7"/>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2023年临江公司标准件（紧固件）</w:t>
      </w:r>
      <w:r>
        <w:rPr>
          <w:rFonts w:hint="eastAsia" w:ascii="宋体" w:hAnsi="宋体" w:eastAsia="宋体" w:cs="宋体"/>
          <w:sz w:val="24"/>
          <w:u w:val="single"/>
        </w:rPr>
        <w:t>采购</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（项目编号：</w:t>
      </w:r>
      <w:r>
        <w:rPr>
          <w:rFonts w:hint="eastAsia" w:ascii="宋体" w:hAnsi="宋体" w:eastAsia="宋体" w:cs="宋体"/>
          <w:sz w:val="24"/>
          <w:u w:val="single"/>
          <w:lang w:eastAsia="zh-CN"/>
        </w:rPr>
        <w:t>202312020</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7"/>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2.我方已详细审查全部询价采购文件、包括修改文件(如需要修改)以及全部参考资料和有关附件。</w:t>
      </w:r>
      <w:r>
        <w:rPr>
          <w:rFonts w:hint="eastAsia" w:ascii="宋体" w:hAnsi="宋体" w:eastAsia="宋体" w:cs="宋体"/>
          <w:spacing w:val="-3"/>
          <w:sz w:val="24"/>
        </w:rPr>
        <w:t>我们完全理解并同意放弃对这方面有不明及误解的权利。</w:t>
      </w:r>
    </w:p>
    <w:p>
      <w:pPr>
        <w:pStyle w:val="27"/>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6"/>
        <w:ind w:firstLine="480" w:firstLineChars="200"/>
        <w:jc w:val="left"/>
        <w:rPr>
          <w:rFonts w:hAnsi="宋体" w:cs="宋体"/>
        </w:rPr>
      </w:pPr>
    </w:p>
    <w:p>
      <w:pPr>
        <w:pStyle w:val="6"/>
        <w:ind w:firstLine="480" w:firstLineChars="200"/>
        <w:jc w:val="left"/>
        <w:rPr>
          <w:rFonts w:hAnsi="宋体" w:cs="宋体"/>
        </w:rPr>
      </w:pPr>
    </w:p>
    <w:p>
      <w:pPr>
        <w:pStyle w:val="6"/>
        <w:jc w:val="left"/>
        <w:rPr>
          <w:rFonts w:hAnsi="宋体" w:cs="宋体"/>
        </w:rPr>
      </w:pPr>
      <w:r>
        <w:rPr>
          <w:rFonts w:hint="eastAsia" w:hAnsi="宋体" w:cs="宋体"/>
        </w:rPr>
        <w:t>供应商名称：（盖单位公章）</w:t>
      </w:r>
    </w:p>
    <w:p>
      <w:pPr>
        <w:pStyle w:val="6"/>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6"/>
        <w:tabs>
          <w:tab w:val="left" w:pos="4101"/>
        </w:tabs>
        <w:jc w:val="left"/>
        <w:rPr>
          <w:rFonts w:hAnsi="宋体" w:cs="宋体"/>
        </w:rPr>
      </w:pPr>
      <w:r>
        <w:rPr>
          <w:rFonts w:hint="eastAsia" w:hAnsi="宋体" w:cs="宋体"/>
        </w:rPr>
        <w:t>地址：</w:t>
      </w:r>
    </w:p>
    <w:p>
      <w:pPr>
        <w:pStyle w:val="6"/>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cols w:space="425" w:num="1"/>
          <w:docGrid w:type="lines" w:linePitch="312" w:charSpace="0"/>
        </w:sectPr>
      </w:pPr>
      <w:r>
        <w:rPr>
          <w:rFonts w:hint="eastAsia" w:ascii="宋体" w:hAnsi="宋体" w:cs="宋体"/>
          <w:szCs w:val="21"/>
        </w:rPr>
        <w:t>日 期 ： 年 月 日</w:t>
      </w:r>
    </w:p>
    <w:p>
      <w:pPr>
        <w:pStyle w:val="28"/>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2023年临江公司标准件（紧固件）</w:t>
      </w:r>
      <w:r>
        <w:rPr>
          <w:rFonts w:hint="eastAsia" w:cs="仿宋" w:asciiTheme="minorEastAsia" w:hAnsiTheme="minorEastAsia"/>
          <w:sz w:val="24"/>
          <w:u w:val="single"/>
          <w:lang w:val="en-US" w:eastAsia="zh-CN"/>
        </w:rPr>
        <w:t>采购项目</w:t>
      </w:r>
      <w:r>
        <w:rPr>
          <w:rFonts w:hint="eastAsia" w:cs="仿宋" w:asciiTheme="minorEastAsia" w:hAnsiTheme="minorEastAsia"/>
          <w:sz w:val="24"/>
        </w:rPr>
        <w:t>【项目编号：</w:t>
      </w:r>
      <w:r>
        <w:rPr>
          <w:rFonts w:hint="eastAsia" w:cs="仿宋" w:asciiTheme="minorEastAsia" w:hAnsiTheme="minorEastAsia"/>
          <w:sz w:val="24"/>
          <w:u w:val="single"/>
          <w:lang w:eastAsia="zh-CN"/>
        </w:rPr>
        <w:t>202312020</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4"/>
        <w:tblW w:w="13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952"/>
        <w:gridCol w:w="1488"/>
        <w:gridCol w:w="2937"/>
        <w:gridCol w:w="760"/>
        <w:gridCol w:w="842"/>
        <w:gridCol w:w="1741"/>
        <w:gridCol w:w="1374"/>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5"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1952"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名称</w:t>
            </w:r>
          </w:p>
        </w:tc>
        <w:tc>
          <w:tcPr>
            <w:tcW w:w="1488"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品牌</w:t>
            </w:r>
          </w:p>
        </w:tc>
        <w:tc>
          <w:tcPr>
            <w:tcW w:w="2937"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规格型号</w:t>
            </w:r>
          </w:p>
        </w:tc>
        <w:tc>
          <w:tcPr>
            <w:tcW w:w="760"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数量</w:t>
            </w:r>
          </w:p>
        </w:tc>
        <w:tc>
          <w:tcPr>
            <w:tcW w:w="842"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单位</w:t>
            </w:r>
          </w:p>
        </w:tc>
        <w:tc>
          <w:tcPr>
            <w:tcW w:w="1741"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单价</w:t>
            </w:r>
          </w:p>
        </w:tc>
        <w:tc>
          <w:tcPr>
            <w:tcW w:w="1374"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总价</w:t>
            </w:r>
          </w:p>
        </w:tc>
        <w:tc>
          <w:tcPr>
            <w:tcW w:w="1588"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bCs w:val="0"/>
                <w:color w:val="auto"/>
                <w:sz w:val="21"/>
                <w:szCs w:val="21"/>
              </w:rPr>
            </w:pPr>
            <w:r>
              <w:rPr>
                <w:rFonts w:hint="eastAsia" w:ascii="宋体" w:hAnsi="宋体" w:eastAsia="宋体" w:cs="宋体"/>
                <w:i w:val="0"/>
                <w:iCs w:val="0"/>
                <w:color w:val="000000"/>
                <w:kern w:val="0"/>
                <w:sz w:val="20"/>
                <w:szCs w:val="20"/>
                <w:u w:val="none"/>
                <w:lang w:val="en-US" w:eastAsia="zh-CN" w:bidi="ar"/>
              </w:rPr>
              <w:t>1</w:t>
            </w:r>
          </w:p>
        </w:tc>
        <w:tc>
          <w:tcPr>
            <w:tcW w:w="195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kern w:val="0"/>
                <w:sz w:val="20"/>
                <w:szCs w:val="20"/>
                <w:u w:val="none"/>
                <w:lang w:val="en-US" w:eastAsia="zh-CN" w:bidi="ar"/>
              </w:rPr>
              <w:t>内六角螺栓</w:t>
            </w:r>
          </w:p>
        </w:tc>
        <w:tc>
          <w:tcPr>
            <w:tcW w:w="1488" w:type="dxa"/>
            <w:vAlign w:val="center"/>
          </w:tcPr>
          <w:p>
            <w:pPr>
              <w:jc w:val="center"/>
              <w:rPr>
                <w:rFonts w:hint="eastAsia" w:ascii="宋体" w:hAnsi="宋体" w:eastAsia="宋体" w:cs="宋体"/>
                <w:b w:val="0"/>
                <w:bCs w:val="0"/>
                <w:color w:val="auto"/>
                <w:sz w:val="21"/>
                <w:szCs w:val="21"/>
              </w:rPr>
            </w:pPr>
          </w:p>
        </w:tc>
        <w:tc>
          <w:tcPr>
            <w:tcW w:w="2937"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rPr>
            </w:pPr>
            <w:r>
              <w:rPr>
                <w:rFonts w:hint="eastAsia" w:ascii="宋体" w:hAnsi="宋体" w:eastAsia="宋体" w:cs="宋体"/>
                <w:i w:val="0"/>
                <w:iCs w:val="0"/>
                <w:color w:val="000000"/>
                <w:kern w:val="0"/>
                <w:sz w:val="20"/>
                <w:szCs w:val="20"/>
                <w:u w:val="none"/>
                <w:lang w:val="en-US" w:eastAsia="zh-CN" w:bidi="ar"/>
              </w:rPr>
              <w:t>M5*40 全螺纹 10.9级</w:t>
            </w:r>
          </w:p>
        </w:tc>
        <w:tc>
          <w:tcPr>
            <w:tcW w:w="76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bCs w:val="0"/>
                <w:color w:val="auto"/>
                <w:sz w:val="21"/>
                <w:szCs w:val="21"/>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195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b w:val="0"/>
                <w:bCs w:val="0"/>
                <w:color w:val="auto"/>
                <w:sz w:val="21"/>
                <w:szCs w:val="21"/>
              </w:rPr>
            </w:pPr>
          </w:p>
        </w:tc>
        <w:tc>
          <w:tcPr>
            <w:tcW w:w="293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kern w:val="0"/>
                <w:sz w:val="20"/>
                <w:szCs w:val="20"/>
                <w:u w:val="none"/>
                <w:lang w:val="en-US" w:eastAsia="zh-CN" w:bidi="ar"/>
              </w:rPr>
              <w:t>M5 10.9级</w:t>
            </w:r>
          </w:p>
        </w:tc>
        <w:tc>
          <w:tcPr>
            <w:tcW w:w="76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平垫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M5 10.9级</w:t>
            </w:r>
          </w:p>
        </w:tc>
        <w:tc>
          <w:tcPr>
            <w:tcW w:w="7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弹垫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M5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5</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内六角螺栓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M6*40 全螺纹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M6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M6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弹垫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M6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内六角螺栓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M8*40 全螺纹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M8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M8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弹垫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M8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内六角螺栓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M10*50 全螺纹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M10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M10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弹垫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M10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内六角螺栓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M12*65 全螺纹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M12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M12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弹垫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M12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内六角螺栓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M14*65 全螺纹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M14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M14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弹垫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M14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内六角螺栓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M16*70 全螺纹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内六角螺栓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M16*90 全螺纹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内六角螺栓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M16*120 全螺纹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M16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M16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弹垫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M16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内六角螺栓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M20*80 全螺纹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内六角螺栓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M20*120 全螺纹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M20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M20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弹垫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M20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内六角螺栓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M24*90 全螺纹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内六角螺栓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M24*130 全螺纹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M24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M24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弹垫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M24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膨胀螺栓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M10*80</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膨胀螺栓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M8*100</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膨胀螺栓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M10*100</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膨胀螺栓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M12*100</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膨胀螺栓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M14*120</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膨胀螺栓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M16*100</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膨胀螺栓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M16*150</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M10*40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M10*60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M10*70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900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900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弹垫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900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M12*50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M12*70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M12*80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M12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900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M12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900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弹垫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M12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900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M14*60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M14*90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62</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M14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M14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弹垫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M14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M16*60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M16*80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67</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M16*100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68</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M16*120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69</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M16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M16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弹垫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M16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M20*70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M20*90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74</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M20*100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75</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M20*130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76</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77</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78</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弹垫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79</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M22*80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M22*90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81</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M22*100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82</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M22*120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83</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M22*140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84</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M22*180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85</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M22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1800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86</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M22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87</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弹垫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M22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双头M30*180  304不锈钢</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89</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M30 304不锈钢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M30*155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91</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92</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弹垫</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94</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六角头螺栓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M30*270 半螺纹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95</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六角头螺栓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M30*110 半螺纹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96</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M30*160 8.8级碳钢 半牙</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内六角螺栓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M10*60  14.9级（全丝）</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98</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M10 14.9级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99</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内六角螺栓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M12*65 全螺纹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M12 10.9级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100 </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活接螺栓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M10*100  8.8级 </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102</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活接螺栓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M16*120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103</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M20*58 A型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104</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M20*160 A型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105</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M14*90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106</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M24*145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107</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M24*180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108</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M24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109</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M27*145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110</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M27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111</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M30*155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113</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M33*200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114</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M33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115</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不锈钢螺栓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M16*60   不锈钢   </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116</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M16 不锈钢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117</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沉头螺栓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M12*55mm  12.9级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118</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M12 12.9级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119</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六角头螺栓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M30*110 半螺纹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六角头螺栓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M30*270 半螺纹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121</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内六角螺栓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不锈钢316 M4*20</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122</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M4 8.8级 不锈钢316</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123</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内六角螺栓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不锈钢316  M6*40</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124</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M6 8.8级 不锈钢316</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125</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8.8级   M24*150</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126</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M24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127</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8.8级   M20*200</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128</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129</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8.8级   M12*100</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130</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M12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131</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8.8级   M24*50</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132</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M24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133</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8.8级   M22*50</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134</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M22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8.8级   M14*100</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136</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M14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137</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M20 *80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138</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139</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M24x100 12.9级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140</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M24 12.9级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141</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8.8级全螺栓   M22*120</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142</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M22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143</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M10*30   4.8级   镀锌     全丝   </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144</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M10 8.8级 镀锌   </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145</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8.8级   M18*200</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146</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M18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147</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M14*65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148</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M14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149</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M12*40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M12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151</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双头 M30*180  304不锈钢</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152</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M30 8.8级 304不锈钢   </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153</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M22*120mm 全螺纹8.8级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154</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M22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155</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304不锈钢  M8*20</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156</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M8 8.8级 304不锈钢   </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157</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8.8级  M24*75</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158</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M24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159</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M30*160 8.8级  半牙</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160</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161</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M20*220 8.8级  半牙</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162</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163</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M27*110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164</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M27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165</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M20*40   8.8级   全丝</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166</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M20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167</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M12*45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168</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M12 8.8级</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169</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螺栓</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M16*180   镀锌</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170</w:t>
            </w:r>
          </w:p>
        </w:tc>
        <w:tc>
          <w:tcPr>
            <w:tcW w:w="19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螺母</w:t>
            </w:r>
          </w:p>
        </w:tc>
        <w:tc>
          <w:tcPr>
            <w:tcW w:w="1488" w:type="dxa"/>
            <w:vAlign w:val="center"/>
          </w:tcPr>
          <w:p>
            <w:pPr>
              <w:jc w:val="center"/>
              <w:rPr>
                <w:rFonts w:hint="eastAsia" w:ascii="宋体" w:hAnsi="宋体" w:eastAsia="宋体" w:cs="宋体"/>
                <w:i w:val="0"/>
                <w:iCs w:val="0"/>
                <w:color w:val="000000"/>
                <w:sz w:val="24"/>
                <w:szCs w:val="24"/>
                <w:u w:val="none"/>
                <w:lang w:val="en-US" w:eastAsia="zh-CN"/>
              </w:rPr>
            </w:pPr>
          </w:p>
        </w:tc>
        <w:tc>
          <w:tcPr>
            <w:tcW w:w="29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M16 8.8级 镀锌</w:t>
            </w:r>
          </w:p>
        </w:tc>
        <w:tc>
          <w:tcPr>
            <w:tcW w:w="76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4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37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5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85" w:type="dxa"/>
            <w:gridSpan w:val="3"/>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响应报价合计（小写）</w:t>
            </w:r>
          </w:p>
        </w:tc>
        <w:tc>
          <w:tcPr>
            <w:tcW w:w="9242" w:type="dxa"/>
            <w:gridSpan w:val="6"/>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85" w:type="dxa"/>
            <w:gridSpan w:val="3"/>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响应报价合计（大写）</w:t>
            </w:r>
          </w:p>
        </w:tc>
        <w:tc>
          <w:tcPr>
            <w:tcW w:w="9242" w:type="dxa"/>
            <w:gridSpan w:val="6"/>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85" w:type="dxa"/>
            <w:gridSpan w:val="3"/>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税率</w:t>
            </w:r>
          </w:p>
        </w:tc>
        <w:tc>
          <w:tcPr>
            <w:tcW w:w="9242" w:type="dxa"/>
            <w:gridSpan w:val="6"/>
            <w:vAlign w:val="center"/>
          </w:tcPr>
          <w:p>
            <w:pPr>
              <w:spacing w:line="360" w:lineRule="auto"/>
              <w:jc w:val="center"/>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 xml:space="preserve"> %</w:t>
            </w:r>
          </w:p>
        </w:tc>
      </w:tr>
    </w:tbl>
    <w:p>
      <w:pPr>
        <w:snapToGrid w:val="0"/>
        <w:spacing w:line="360" w:lineRule="auto"/>
        <w:ind w:left="480"/>
        <w:rPr>
          <w:rFonts w:hint="eastAsia" w:cs="仿宋" w:asciiTheme="minorEastAsia" w:hAnsiTheme="minorEastAsia"/>
          <w:b/>
          <w:kern w:val="0"/>
          <w:sz w:val="24"/>
          <w:lang w:val="zh-CN"/>
        </w:rPr>
      </w:pPr>
    </w:p>
    <w:p>
      <w:pPr>
        <w:snapToGrid w:val="0"/>
        <w:spacing w:line="360" w:lineRule="auto"/>
        <w:ind w:left="480"/>
        <w:rPr>
          <w:rFonts w:hint="eastAsia" w:cs="仿宋" w:asciiTheme="minorEastAsia" w:hAnsiTheme="minorEastAsia"/>
          <w:b/>
          <w:kern w:val="0"/>
          <w:sz w:val="24"/>
          <w:lang w:val="zh-CN"/>
        </w:rPr>
      </w:pPr>
    </w:p>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3、特别提示：采购人将对项目名称和项目编号，成交供应商名称、成交标金额予以公示。</w:t>
      </w:r>
    </w:p>
    <w:p>
      <w:pPr>
        <w:pStyle w:val="6"/>
      </w:pPr>
    </w:p>
    <w:p>
      <w:pPr>
        <w:pStyle w:val="7"/>
      </w:pPr>
    </w:p>
    <w:p>
      <w:pPr>
        <w:sectPr>
          <w:pgSz w:w="16838" w:h="11906" w:orient="landscape"/>
          <w:pgMar w:top="1803" w:right="1440" w:bottom="1803" w:left="1440" w:header="851" w:footer="992" w:gutter="0"/>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cols w:space="425" w:num="1"/>
          <w:docGrid w:type="lines" w:linePitch="312" w:charSpace="0"/>
        </w:sectPr>
      </w:pPr>
    </w:p>
    <w:p>
      <w:pPr>
        <w:pStyle w:val="2"/>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2023年临江公司标准件（紧固件）</w:t>
      </w:r>
      <w:r>
        <w:rPr>
          <w:rFonts w:hint="eastAsia" w:cs="仿宋" w:asciiTheme="minorEastAsia" w:hAnsiTheme="minorEastAsia"/>
          <w:sz w:val="24"/>
          <w:u w:val="single"/>
        </w:rPr>
        <w:t>采购项目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202312020</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w:t>
      </w:r>
      <w:r>
        <w:rPr>
          <w:rFonts w:hint="eastAsia" w:cs="仿宋" w:asciiTheme="minorEastAsia" w:hAnsiTheme="minorEastAsia"/>
          <w:sz w:val="24"/>
          <w:lang w:eastAsia="zh-CN"/>
        </w:rPr>
        <w:t>2023年临江公司标准件（紧固件）</w:t>
      </w:r>
      <w:r>
        <w:rPr>
          <w:rFonts w:hint="eastAsia" w:cs="仿宋" w:asciiTheme="minorEastAsia" w:hAnsiTheme="minorEastAsia"/>
          <w:sz w:val="24"/>
        </w:rPr>
        <w:t>【项目编号：】</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3"/>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6"/>
      </w:pPr>
    </w:p>
    <w:sectPr>
      <w:footerReference r:id="rId21" w:type="default"/>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jNzVlMjA5YjAxZDMwMTkyZWZhOTBlYjdjZTdmOTEifQ=="/>
  </w:docVars>
  <w:rsids>
    <w:rsidRoot w:val="004E73AF"/>
    <w:rsid w:val="00211F61"/>
    <w:rsid w:val="00466F38"/>
    <w:rsid w:val="004E73AF"/>
    <w:rsid w:val="00505519"/>
    <w:rsid w:val="00816543"/>
    <w:rsid w:val="00935EC2"/>
    <w:rsid w:val="00A35347"/>
    <w:rsid w:val="00B26A91"/>
    <w:rsid w:val="00C3645A"/>
    <w:rsid w:val="00D00625"/>
    <w:rsid w:val="00E81C9E"/>
    <w:rsid w:val="00FC7298"/>
    <w:rsid w:val="013F5D27"/>
    <w:rsid w:val="0156352C"/>
    <w:rsid w:val="01D11386"/>
    <w:rsid w:val="023E1286"/>
    <w:rsid w:val="030669ED"/>
    <w:rsid w:val="032B7E17"/>
    <w:rsid w:val="034B5FC8"/>
    <w:rsid w:val="036E630A"/>
    <w:rsid w:val="04925647"/>
    <w:rsid w:val="04E634F4"/>
    <w:rsid w:val="050D04E5"/>
    <w:rsid w:val="05B622F4"/>
    <w:rsid w:val="06803F38"/>
    <w:rsid w:val="07013F3A"/>
    <w:rsid w:val="078B333A"/>
    <w:rsid w:val="07C24B12"/>
    <w:rsid w:val="07D15ABF"/>
    <w:rsid w:val="087E795F"/>
    <w:rsid w:val="09373214"/>
    <w:rsid w:val="09EC7123"/>
    <w:rsid w:val="09ED56C9"/>
    <w:rsid w:val="0B530D41"/>
    <w:rsid w:val="0BF7590B"/>
    <w:rsid w:val="0C492847"/>
    <w:rsid w:val="0CF31D21"/>
    <w:rsid w:val="0DBE1FBD"/>
    <w:rsid w:val="0EE3057E"/>
    <w:rsid w:val="0F111837"/>
    <w:rsid w:val="0F81598B"/>
    <w:rsid w:val="0FB91E94"/>
    <w:rsid w:val="10825D03"/>
    <w:rsid w:val="11C46A46"/>
    <w:rsid w:val="11D469D6"/>
    <w:rsid w:val="12E110C3"/>
    <w:rsid w:val="12F14156"/>
    <w:rsid w:val="143E2438"/>
    <w:rsid w:val="14ED0EF5"/>
    <w:rsid w:val="15CB2DA0"/>
    <w:rsid w:val="166F3635"/>
    <w:rsid w:val="16806E74"/>
    <w:rsid w:val="172B7F67"/>
    <w:rsid w:val="17AF353E"/>
    <w:rsid w:val="17CF0144"/>
    <w:rsid w:val="185870FA"/>
    <w:rsid w:val="185A544F"/>
    <w:rsid w:val="18890233"/>
    <w:rsid w:val="190D49C0"/>
    <w:rsid w:val="198737C7"/>
    <w:rsid w:val="19976A31"/>
    <w:rsid w:val="19DC6BDA"/>
    <w:rsid w:val="1AA56FDE"/>
    <w:rsid w:val="1AF076EF"/>
    <w:rsid w:val="1B0C79D9"/>
    <w:rsid w:val="1B1B25BA"/>
    <w:rsid w:val="1B7913A6"/>
    <w:rsid w:val="1D204FBE"/>
    <w:rsid w:val="1D61352C"/>
    <w:rsid w:val="1D9B6FDC"/>
    <w:rsid w:val="1DFA0457"/>
    <w:rsid w:val="1E5F5CBE"/>
    <w:rsid w:val="1E8307F5"/>
    <w:rsid w:val="1F457921"/>
    <w:rsid w:val="20D12777"/>
    <w:rsid w:val="20FB672E"/>
    <w:rsid w:val="213339C4"/>
    <w:rsid w:val="21677697"/>
    <w:rsid w:val="21F833F1"/>
    <w:rsid w:val="228D26CE"/>
    <w:rsid w:val="22916FA5"/>
    <w:rsid w:val="247C6E9E"/>
    <w:rsid w:val="25650E5F"/>
    <w:rsid w:val="26010880"/>
    <w:rsid w:val="262F7557"/>
    <w:rsid w:val="26F15921"/>
    <w:rsid w:val="26F5161A"/>
    <w:rsid w:val="294E0F60"/>
    <w:rsid w:val="2987716A"/>
    <w:rsid w:val="29AE18A7"/>
    <w:rsid w:val="2A6366FF"/>
    <w:rsid w:val="2B3D5BF4"/>
    <w:rsid w:val="2C4141D8"/>
    <w:rsid w:val="2D0A2172"/>
    <w:rsid w:val="2F4D3609"/>
    <w:rsid w:val="2F5836E9"/>
    <w:rsid w:val="30062480"/>
    <w:rsid w:val="30556F21"/>
    <w:rsid w:val="308C5F1F"/>
    <w:rsid w:val="31111553"/>
    <w:rsid w:val="314B6E80"/>
    <w:rsid w:val="32264FDA"/>
    <w:rsid w:val="32843E96"/>
    <w:rsid w:val="333077D1"/>
    <w:rsid w:val="34454474"/>
    <w:rsid w:val="3572263D"/>
    <w:rsid w:val="36162BCB"/>
    <w:rsid w:val="36A71B58"/>
    <w:rsid w:val="37103BA1"/>
    <w:rsid w:val="37514AF4"/>
    <w:rsid w:val="377C0298"/>
    <w:rsid w:val="37B04D36"/>
    <w:rsid w:val="388A2371"/>
    <w:rsid w:val="38AA1C6F"/>
    <w:rsid w:val="39C31C6C"/>
    <w:rsid w:val="3A115E84"/>
    <w:rsid w:val="3A6303AE"/>
    <w:rsid w:val="3A993EAE"/>
    <w:rsid w:val="3AA967C9"/>
    <w:rsid w:val="3AB61186"/>
    <w:rsid w:val="3C283344"/>
    <w:rsid w:val="3C485F9D"/>
    <w:rsid w:val="3C7C70D7"/>
    <w:rsid w:val="3C940DD1"/>
    <w:rsid w:val="3C9A2D2B"/>
    <w:rsid w:val="3D2B4CB5"/>
    <w:rsid w:val="3DD1098B"/>
    <w:rsid w:val="3E0C6463"/>
    <w:rsid w:val="3EA03F0B"/>
    <w:rsid w:val="3EC4791E"/>
    <w:rsid w:val="3EE43BF5"/>
    <w:rsid w:val="403E57B7"/>
    <w:rsid w:val="411A0F39"/>
    <w:rsid w:val="415A5C88"/>
    <w:rsid w:val="41CE08E1"/>
    <w:rsid w:val="42112513"/>
    <w:rsid w:val="433C7ACC"/>
    <w:rsid w:val="435518AD"/>
    <w:rsid w:val="43C04259"/>
    <w:rsid w:val="4482659D"/>
    <w:rsid w:val="448E0268"/>
    <w:rsid w:val="4559568A"/>
    <w:rsid w:val="45A47533"/>
    <w:rsid w:val="46BC402D"/>
    <w:rsid w:val="472961BF"/>
    <w:rsid w:val="475528CD"/>
    <w:rsid w:val="47B265AF"/>
    <w:rsid w:val="47D712BF"/>
    <w:rsid w:val="48023D62"/>
    <w:rsid w:val="496717C4"/>
    <w:rsid w:val="4A063A4F"/>
    <w:rsid w:val="4A875AD1"/>
    <w:rsid w:val="4AAC0F57"/>
    <w:rsid w:val="4AE27CAC"/>
    <w:rsid w:val="4B1B2ECF"/>
    <w:rsid w:val="4B6E282F"/>
    <w:rsid w:val="4BAC48C9"/>
    <w:rsid w:val="4BB27DC6"/>
    <w:rsid w:val="4CEA2347"/>
    <w:rsid w:val="4D243428"/>
    <w:rsid w:val="4DD64459"/>
    <w:rsid w:val="4E1E04FA"/>
    <w:rsid w:val="4EFA25EF"/>
    <w:rsid w:val="4F55619D"/>
    <w:rsid w:val="4F73084F"/>
    <w:rsid w:val="4F7F76BE"/>
    <w:rsid w:val="4F9246A8"/>
    <w:rsid w:val="4FEB08B0"/>
    <w:rsid w:val="50A13664"/>
    <w:rsid w:val="50DD26D0"/>
    <w:rsid w:val="51937E4D"/>
    <w:rsid w:val="52383592"/>
    <w:rsid w:val="523875F5"/>
    <w:rsid w:val="52506204"/>
    <w:rsid w:val="53FA1DF3"/>
    <w:rsid w:val="54AB2D04"/>
    <w:rsid w:val="557B35BC"/>
    <w:rsid w:val="55DB6EB1"/>
    <w:rsid w:val="565C1CF5"/>
    <w:rsid w:val="571F3A0C"/>
    <w:rsid w:val="57F2034A"/>
    <w:rsid w:val="58207565"/>
    <w:rsid w:val="58235318"/>
    <w:rsid w:val="59121C77"/>
    <w:rsid w:val="59DE0E09"/>
    <w:rsid w:val="59DF6851"/>
    <w:rsid w:val="5A283DD0"/>
    <w:rsid w:val="5A6D1E94"/>
    <w:rsid w:val="5ACD76EE"/>
    <w:rsid w:val="5AD36B10"/>
    <w:rsid w:val="5ADB0CAB"/>
    <w:rsid w:val="5AE272CA"/>
    <w:rsid w:val="5AF56121"/>
    <w:rsid w:val="5B171310"/>
    <w:rsid w:val="5B366E46"/>
    <w:rsid w:val="5B3D7F5F"/>
    <w:rsid w:val="5B460326"/>
    <w:rsid w:val="5D772190"/>
    <w:rsid w:val="5EDB3650"/>
    <w:rsid w:val="5F0279C4"/>
    <w:rsid w:val="5F56549B"/>
    <w:rsid w:val="5F731843"/>
    <w:rsid w:val="5F944466"/>
    <w:rsid w:val="60844C26"/>
    <w:rsid w:val="60A9029A"/>
    <w:rsid w:val="60FA16F8"/>
    <w:rsid w:val="611A0747"/>
    <w:rsid w:val="6139287F"/>
    <w:rsid w:val="63CF15A0"/>
    <w:rsid w:val="65A92947"/>
    <w:rsid w:val="661A50B7"/>
    <w:rsid w:val="673E5F91"/>
    <w:rsid w:val="67D6317A"/>
    <w:rsid w:val="67D649B5"/>
    <w:rsid w:val="689F1462"/>
    <w:rsid w:val="68ED6365"/>
    <w:rsid w:val="695732E1"/>
    <w:rsid w:val="6A490EEE"/>
    <w:rsid w:val="6A4E3ABD"/>
    <w:rsid w:val="6AE63D7E"/>
    <w:rsid w:val="6B462C2B"/>
    <w:rsid w:val="6B8359E9"/>
    <w:rsid w:val="6BD277B9"/>
    <w:rsid w:val="6C321620"/>
    <w:rsid w:val="6C816727"/>
    <w:rsid w:val="6CAC7C7E"/>
    <w:rsid w:val="6DA02882"/>
    <w:rsid w:val="6DA12E69"/>
    <w:rsid w:val="6DBB3B60"/>
    <w:rsid w:val="6E874863"/>
    <w:rsid w:val="6F0B4673"/>
    <w:rsid w:val="6F18123A"/>
    <w:rsid w:val="700E4F44"/>
    <w:rsid w:val="70173239"/>
    <w:rsid w:val="711D3FA5"/>
    <w:rsid w:val="721A5B23"/>
    <w:rsid w:val="722C0729"/>
    <w:rsid w:val="72B931C1"/>
    <w:rsid w:val="734A515C"/>
    <w:rsid w:val="738D03F5"/>
    <w:rsid w:val="73E442FB"/>
    <w:rsid w:val="744A48B2"/>
    <w:rsid w:val="75903CD5"/>
    <w:rsid w:val="75A51775"/>
    <w:rsid w:val="75D87DB8"/>
    <w:rsid w:val="767E5B01"/>
    <w:rsid w:val="76D65CAB"/>
    <w:rsid w:val="778F44F9"/>
    <w:rsid w:val="77F2017E"/>
    <w:rsid w:val="78E370A5"/>
    <w:rsid w:val="79017606"/>
    <w:rsid w:val="79D7762B"/>
    <w:rsid w:val="79EB254B"/>
    <w:rsid w:val="7BA82ABD"/>
    <w:rsid w:val="7C284683"/>
    <w:rsid w:val="7C734874"/>
    <w:rsid w:val="7C757EAB"/>
    <w:rsid w:val="7D0A41BC"/>
    <w:rsid w:val="7D0A4B32"/>
    <w:rsid w:val="7D797C2B"/>
    <w:rsid w:val="7DAC6A56"/>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qFormat/>
    <w:uiPriority w:val="0"/>
    <w:pPr>
      <w:keepNext/>
      <w:tabs>
        <w:tab w:val="left" w:pos="1275"/>
      </w:tabs>
      <w:spacing w:line="216" w:lineRule="auto"/>
      <w:ind w:left="1275" w:hanging="720"/>
      <w:outlineLvl w:val="2"/>
    </w:pPr>
    <w:rPr>
      <w:rFonts w:ascii="宋体"/>
      <w:b/>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5">
    <w:name w:val="Normal Indent"/>
    <w:basedOn w:val="1"/>
    <w:next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w:basedOn w:val="1"/>
    <w:next w:val="7"/>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Body Text First Indent"/>
    <w:basedOn w:val="6"/>
    <w:next w:val="8"/>
    <w:qFormat/>
    <w:uiPriority w:val="0"/>
    <w:pPr>
      <w:ind w:firstLine="420"/>
    </w:pPr>
    <w:rPr>
      <w:rFonts w:hAnsi="Times New Roman" w:cs="Times New Roman"/>
      <w:snapToGrid/>
      <w:szCs w:val="20"/>
    </w:rPr>
  </w:style>
  <w:style w:type="paragraph" w:styleId="8">
    <w:name w:val="toc 6"/>
    <w:basedOn w:val="1"/>
    <w:next w:val="1"/>
    <w:qFormat/>
    <w:uiPriority w:val="0"/>
    <w:pPr>
      <w:ind w:left="2100" w:leftChars="1000"/>
    </w:pPr>
  </w:style>
  <w:style w:type="paragraph" w:styleId="9">
    <w:name w:val="Body Text Indent"/>
    <w:basedOn w:val="1"/>
    <w:qFormat/>
    <w:uiPriority w:val="0"/>
    <w:pPr>
      <w:spacing w:line="480" w:lineRule="exact"/>
      <w:ind w:firstLine="480" w:firstLineChars="200"/>
    </w:pPr>
    <w:rPr>
      <w:rFonts w:ascii="宋体" w:hAnsi="宋体"/>
      <w:sz w:val="24"/>
    </w:rPr>
  </w:style>
  <w:style w:type="paragraph" w:styleId="10">
    <w:name w:val="Plain Text"/>
    <w:basedOn w:val="1"/>
    <w:next w:val="1"/>
    <w:qFormat/>
    <w:uiPriority w:val="0"/>
    <w:rPr>
      <w:rFonts w:ascii="宋体" w:hAnsi="Courier New"/>
      <w:szCs w:val="22"/>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itle"/>
    <w:basedOn w:val="1"/>
    <w:next w:val="1"/>
    <w:qFormat/>
    <w:uiPriority w:val="0"/>
    <w:pPr>
      <w:spacing w:before="240" w:after="60"/>
      <w:jc w:val="center"/>
      <w:outlineLvl w:val="0"/>
    </w:pPr>
    <w:rPr>
      <w:rFonts w:ascii="Arial" w:hAnsi="Arial" w:cs="Arial"/>
      <w:color w:val="000000"/>
      <w:kern w:val="0"/>
      <w:sz w:val="32"/>
      <w:szCs w:val="32"/>
    </w:rPr>
  </w:style>
  <w:style w:type="table" w:styleId="15">
    <w:name w:val="Table Grid"/>
    <w:basedOn w:val="14"/>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
    <w:name w:val="Table Paragraph"/>
    <w:basedOn w:val="1"/>
    <w:qFormat/>
    <w:uiPriority w:val="1"/>
    <w:rPr>
      <w:rFonts w:ascii="宋体" w:hAnsi="宋体" w:eastAsia="宋体" w:cs="宋体"/>
      <w:lang w:val="zh-CN" w:bidi="zh-CN"/>
    </w:rPr>
  </w:style>
  <w:style w:type="paragraph" w:customStyle="1" w:styleId="18">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9">
    <w:name w:val="样式1"/>
    <w:basedOn w:val="1"/>
    <w:qFormat/>
    <w:uiPriority w:val="0"/>
    <w:pPr>
      <w:spacing w:line="360" w:lineRule="exact"/>
      <w:ind w:firstLine="200" w:firstLineChars="200"/>
    </w:pPr>
    <w:rPr>
      <w:rFonts w:ascii="Arial" w:hAnsi="Arial"/>
    </w:rPr>
  </w:style>
  <w:style w:type="paragraph" w:customStyle="1" w:styleId="20">
    <w:name w:val="正文2"/>
    <w:basedOn w:val="1"/>
    <w:qFormat/>
    <w:uiPriority w:val="0"/>
    <w:pPr>
      <w:spacing w:before="156" w:line="360" w:lineRule="auto"/>
      <w:ind w:firstLine="510" w:firstLineChars="200"/>
    </w:pPr>
    <w:rPr>
      <w:sz w:val="24"/>
      <w:szCs w:val="20"/>
    </w:rPr>
  </w:style>
  <w:style w:type="paragraph" w:customStyle="1" w:styleId="2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
    <w:name w:val="正文缩进1"/>
    <w:basedOn w:val="1"/>
    <w:next w:val="9"/>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3">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24">
    <w:name w:val="纯文本1"/>
    <w:basedOn w:val="1"/>
    <w:qFormat/>
    <w:uiPriority w:val="0"/>
    <w:rPr>
      <w:rFonts w:ascii="宋体" w:hAnsi="Courier New"/>
      <w:kern w:val="0"/>
      <w:sz w:val="20"/>
      <w:szCs w:val="20"/>
    </w:rPr>
  </w:style>
  <w:style w:type="paragraph" w:customStyle="1" w:styleId="25">
    <w:name w:val="纯文本_0_0"/>
    <w:basedOn w:val="26"/>
    <w:qFormat/>
    <w:uiPriority w:val="0"/>
    <w:rPr>
      <w:rFonts w:ascii="宋体" w:hAnsi="Courier New"/>
      <w:szCs w:val="21"/>
    </w:rPr>
  </w:style>
  <w:style w:type="paragraph" w:customStyle="1" w:styleId="2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7">
    <w:name w:val="List Paragraph"/>
    <w:basedOn w:val="1"/>
    <w:qFormat/>
    <w:uiPriority w:val="99"/>
    <w:pPr>
      <w:ind w:firstLine="420" w:firstLineChars="200"/>
    </w:pPr>
  </w:style>
  <w:style w:type="paragraph" w:customStyle="1" w:styleId="2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9">
    <w:name w:val="条款样式"/>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0">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31">
    <w:name w:val="font11"/>
    <w:basedOn w:val="16"/>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24325</Words>
  <Characters>26042</Characters>
  <Lines>224</Lines>
  <Paragraphs>63</Paragraphs>
  <TotalTime>7</TotalTime>
  <ScaleCrop>false</ScaleCrop>
  <LinksUpToDate>false</LinksUpToDate>
  <CharactersWithSpaces>29189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叶钐湖</cp:lastModifiedBy>
  <cp:lastPrinted>2023-12-06T03:58:00Z</cp:lastPrinted>
  <dcterms:modified xsi:type="dcterms:W3CDTF">2023-12-14T07:54:31Z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6A8FEE40B9E14D38A6934ACE40E79C8A_13</vt:lpwstr>
  </property>
</Properties>
</file>