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lang w:eastAsia="zh-CN"/>
        </w:rPr>
        <w:t>2024年临江公司消防泡沫液采购</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202401015</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w:t>
      </w:r>
      <w:r>
        <w:rPr>
          <w:rFonts w:hint="eastAsia" w:cs="仿宋" w:asciiTheme="minorEastAsia" w:hAnsiTheme="minorEastAsia"/>
          <w:sz w:val="32"/>
          <w:szCs w:val="32"/>
          <w:lang w:val="en-US" w:eastAsia="zh-CN"/>
        </w:rPr>
        <w:t>4</w:t>
      </w:r>
      <w:r>
        <w:rPr>
          <w:rFonts w:hint="eastAsia" w:cs="仿宋" w:asciiTheme="minorEastAsia" w:hAnsiTheme="minorEastAsia"/>
          <w:sz w:val="32"/>
          <w:szCs w:val="32"/>
        </w:rPr>
        <w:t>年1月</w:t>
      </w:r>
      <w:r>
        <w:rPr>
          <w:rFonts w:hint="eastAsia" w:cs="仿宋" w:asciiTheme="minorEastAsia" w:hAnsiTheme="minorEastAsia"/>
          <w:sz w:val="32"/>
          <w:szCs w:val="32"/>
          <w:lang w:val="en-US" w:eastAsia="zh-CN"/>
        </w:rPr>
        <w:t>9</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790"/>
      <w:bookmarkStart w:id="2" w:name="_Toc28359002"/>
      <w:bookmarkStart w:id="3" w:name="_Toc35393621"/>
      <w:bookmarkStart w:id="4" w:name="_Toc28359079"/>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2024年临江公司消防泡沫液采购</w:t>
      </w:r>
      <w:r>
        <w:rPr>
          <w:rFonts w:hint="eastAsia" w:cs="仿宋" w:asciiTheme="minorEastAsia" w:hAnsiTheme="minorEastAsia"/>
          <w:sz w:val="24"/>
          <w:u w:val="single"/>
        </w:rPr>
        <w:t>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202401015</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2024年临江公司消防泡沫液采购</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highlight w:val="none"/>
          <w:u w:val="single"/>
          <w:lang w:val="en-US" w:eastAsia="zh-CN"/>
        </w:rPr>
        <w:t>6.5</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eastAsia="zh-CN"/>
        </w:rPr>
        <w:t>消防泡沫液</w:t>
      </w:r>
      <w:r>
        <w:rPr>
          <w:rFonts w:hint="eastAsia" w:hAnsi="宋体" w:cs="宋体"/>
          <w:bCs/>
          <w:sz w:val="24"/>
          <w:lang w:val="en-US" w:eastAsia="zh-CN"/>
        </w:rPr>
        <w:t xml:space="preserve">10吨 </w:t>
      </w:r>
      <w:r>
        <w:rPr>
          <w:rFonts w:hint="eastAsia" w:hAnsi="宋体" w:cs="宋体"/>
          <w:bCs/>
          <w:sz w:val="24"/>
        </w:rPr>
        <w:t>。</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一次性供货结束后合同自动终止</w:t>
      </w:r>
      <w:r>
        <w:rPr>
          <w:rFonts w:hint="eastAsia" w:cs="仿宋" w:asciiTheme="minorEastAsia" w:hAnsiTheme="minorEastAsia"/>
          <w:sz w:val="24"/>
          <w:u w:val="single"/>
        </w:rPr>
        <w:t>。在采购人发出送货通知后，中标人</w:t>
      </w:r>
      <w:r>
        <w:rPr>
          <w:rFonts w:hint="eastAsia" w:cs="仿宋" w:asciiTheme="minorEastAsia" w:hAnsiTheme="minorEastAsia"/>
          <w:sz w:val="24"/>
          <w:u w:val="single"/>
          <w:lang w:eastAsia="zh-CN"/>
        </w:rPr>
        <w:t>按采购人订单</w:t>
      </w:r>
      <w:r>
        <w:rPr>
          <w:rFonts w:hint="eastAsia" w:cs="仿宋" w:asciiTheme="minorEastAsia" w:hAnsiTheme="minorEastAsia"/>
          <w:sz w:val="24"/>
          <w:u w:val="single"/>
        </w:rPr>
        <w:t>将货物如数送至采购人指定地点。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35393791"/>
      <w:bookmarkStart w:id="7" w:name="_Toc28359003"/>
      <w:bookmarkStart w:id="8" w:name="_Toc28359080"/>
      <w:bookmarkStart w:id="9" w:name="_Toc35393622"/>
      <w:r>
        <w:rPr>
          <w:rFonts w:hint="eastAsia" w:cs="仿宋" w:asciiTheme="minorEastAsia" w:hAnsiTheme="minorEastAsia"/>
          <w:b/>
          <w:bCs/>
          <w:sz w:val="24"/>
        </w:rPr>
        <w:t>二、供应商的资格要求：</w:t>
      </w:r>
      <w:bookmarkEnd w:id="6"/>
      <w:bookmarkEnd w:id="7"/>
      <w:bookmarkEnd w:id="8"/>
      <w:bookmarkEnd w:id="9"/>
      <w:bookmarkStart w:id="10" w:name="_Toc35393623"/>
      <w:bookmarkStart w:id="11" w:name="_Toc28359081"/>
      <w:bookmarkStart w:id="12" w:name="_Toc28359004"/>
      <w:bookmarkStart w:id="13" w:name="_Toc35393792"/>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hint="default" w:cs="仿宋" w:asciiTheme="minorEastAsia" w:hAnsiTheme="minorEastAsia" w:eastAsiaTheme="minorEastAsia"/>
          <w:bCs/>
          <w:sz w:val="24"/>
          <w:u w:val="single"/>
          <w:lang w:val="en-US" w:eastAsia="zh-CN"/>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28359082"/>
      <w:bookmarkStart w:id="15" w:name="_Toc35393793"/>
      <w:bookmarkStart w:id="16" w:name="_Toc28359005"/>
      <w:bookmarkStart w:id="17" w:name="_Toc35393624"/>
      <w:r>
        <w:rPr>
          <w:rFonts w:hint="eastAsia" w:cs="仿宋" w:asciiTheme="minorEastAsia" w:hAnsiTheme="minorEastAsia" w:eastAsiaTheme="minorEastAsia"/>
          <w:b w:val="0"/>
          <w:sz w:val="24"/>
          <w:szCs w:val="24"/>
        </w:rPr>
        <w:t>1</w:t>
      </w:r>
      <w:r>
        <w:rPr>
          <w:rFonts w:hint="eastAsia" w:cs="仿宋" w:asciiTheme="minorEastAsia" w:hAnsiTheme="minorEastAsia" w:eastAsiaTheme="minorEastAsia"/>
          <w:b w:val="0"/>
          <w:sz w:val="24"/>
          <w:szCs w:val="24"/>
          <w:lang w:eastAsia="zh-CN"/>
        </w:rPr>
        <w:t>.</w:t>
      </w:r>
      <w:r>
        <w:rPr>
          <w:rFonts w:hint="eastAsia" w:cs="仿宋" w:asciiTheme="minorEastAsia" w:hAnsiTheme="minorEastAsia" w:eastAsiaTheme="minorEastAsia"/>
          <w:b w:val="0"/>
          <w:sz w:val="24"/>
          <w:szCs w:val="24"/>
        </w:rPr>
        <w:t xml:space="preserve">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w:t>
      </w:r>
      <w:r>
        <w:rPr>
          <w:rFonts w:hint="eastAsia" w:cs="仿宋" w:asciiTheme="minorEastAsia" w:hAnsiTheme="minorEastAsia" w:eastAsiaTheme="minorEastAsia"/>
          <w:b w:val="0"/>
          <w:sz w:val="24"/>
          <w:szCs w:val="24"/>
          <w:lang w:val="en-US" w:eastAsia="zh-CN"/>
        </w:rPr>
        <w:t>.</w:t>
      </w:r>
      <w:r>
        <w:rPr>
          <w:rFonts w:hint="eastAsia" w:cs="仿宋" w:asciiTheme="minorEastAsia" w:hAnsiTheme="minorEastAsia" w:eastAsiaTheme="minorEastAsia"/>
          <w:b w:val="0"/>
          <w:sz w:val="24"/>
          <w:szCs w:val="24"/>
        </w:rPr>
        <w:t>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18</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18</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w:t>
      </w:r>
      <w:r>
        <w:rPr>
          <w:rFonts w:hint="eastAsia" w:cs="仿宋" w:asciiTheme="minorEastAsia" w:hAnsiTheme="minorEastAsia"/>
          <w:sz w:val="24"/>
          <w:lang w:val="en-US" w:eastAsia="zh-CN"/>
        </w:rPr>
        <w:t>3</w:t>
      </w:r>
      <w:r>
        <w:rPr>
          <w:rFonts w:hint="eastAsia" w:cs="仿宋" w:asciiTheme="minorEastAsia" w:hAnsiTheme="minorEastAsia"/>
          <w:sz w:val="24"/>
        </w:rPr>
        <w:t>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叶工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18458245764</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rPr>
        <w:t>202</w:t>
      </w:r>
      <w:r>
        <w:rPr>
          <w:rFonts w:hint="eastAsia" w:cs="仿宋" w:asciiTheme="minorEastAsia" w:hAnsiTheme="minorEastAsia"/>
          <w:sz w:val="24"/>
          <w:lang w:val="en-US" w:eastAsia="zh-CN"/>
        </w:rPr>
        <w:t>4</w:t>
      </w:r>
      <w:r>
        <w:rPr>
          <w:rFonts w:cs="仿宋" w:asciiTheme="minorEastAsia" w:hAnsiTheme="minorEastAsia"/>
          <w:sz w:val="24"/>
        </w:rPr>
        <w:t>年</w:t>
      </w:r>
      <w:r>
        <w:rPr>
          <w:rFonts w:hint="eastAsia" w:cs="仿宋" w:asciiTheme="minorEastAsia" w:hAnsiTheme="minorEastAsia"/>
          <w:sz w:val="24"/>
          <w:lang w:val="en-US" w:eastAsia="zh-CN"/>
        </w:rPr>
        <w:t>1</w:t>
      </w:r>
      <w:bookmarkStart w:id="517" w:name="_GoBack"/>
      <w:bookmarkEnd w:id="517"/>
      <w:r>
        <w:rPr>
          <w:rFonts w:hint="eastAsia" w:cs="仿宋" w:asciiTheme="minorEastAsia" w:hAnsiTheme="minorEastAsia"/>
          <w:sz w:val="24"/>
        </w:rPr>
        <w:t>月</w:t>
      </w:r>
      <w:r>
        <w:rPr>
          <w:rFonts w:hint="eastAsia" w:cs="仿宋" w:asciiTheme="minorEastAsia" w:hAnsiTheme="minorEastAsia"/>
          <w:sz w:val="24"/>
          <w:lang w:val="en-US" w:eastAsia="zh-CN"/>
        </w:rPr>
        <w:t xml:space="preserve"> 9 </w:t>
      </w:r>
      <w:r>
        <w:rPr>
          <w:rFonts w:hint="eastAsia" w:cs="仿宋" w:asciiTheme="minorEastAsia" w:hAnsiTheme="minorEastAsia"/>
          <w:sz w:val="24"/>
        </w:rPr>
        <w:t>日</w:t>
      </w:r>
    </w:p>
    <w:p>
      <w:pPr>
        <w:spacing w:line="460" w:lineRule="exact"/>
        <w:jc w:val="both"/>
        <w:rPr>
          <w:rFonts w:cs="仿宋" w:asciiTheme="minorEastAsia" w:hAnsiTheme="minorEastAsia"/>
          <w:b/>
          <w:bCs/>
          <w:sz w:val="36"/>
          <w:szCs w:val="36"/>
        </w:rPr>
      </w:pPr>
    </w:p>
    <w:p>
      <w:pPr>
        <w:pStyle w:val="2"/>
        <w:rPr>
          <w:rFonts w:cs="仿宋" w:asciiTheme="minorEastAsia" w:hAnsiTheme="minorEastAsia"/>
          <w:b/>
          <w:bCs/>
          <w:sz w:val="36"/>
          <w:szCs w:val="36"/>
        </w:rPr>
      </w:pPr>
    </w:p>
    <w:p>
      <w:pPr>
        <w:rPr>
          <w:rFonts w:cs="仿宋" w:asciiTheme="minorEastAsia" w:hAnsiTheme="minorEastAsia"/>
          <w:b/>
          <w:bCs/>
          <w:sz w:val="36"/>
          <w:szCs w:val="36"/>
        </w:rPr>
      </w:pPr>
    </w:p>
    <w:p>
      <w:pPr>
        <w:pStyle w:val="2"/>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lang w:val="en-US" w:eastAsia="zh-CN"/>
              </w:rPr>
              <w:t xml:space="preserve"> </w:t>
            </w:r>
            <w:r>
              <w:rPr>
                <w:rFonts w:hint="eastAsia" w:ascii="宋体" w:hAnsi="宋体" w:eastAsia="宋体" w:cs="宋体"/>
                <w:b/>
                <w:bCs/>
                <w:szCs w:val="21"/>
                <w:u w:val="single"/>
                <w:lang w:val="en-US" w:eastAsia="zh-CN"/>
              </w:rPr>
              <w:t xml:space="preserve">/  </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pStyle w:val="8"/>
        <w:rPr>
          <w:rFonts w:cs="仿宋" w:asciiTheme="minorEastAsia" w:hAnsiTheme="minorEastAsia"/>
          <w:b/>
          <w:sz w:val="32"/>
        </w:rPr>
      </w:pPr>
    </w:p>
    <w:p>
      <w:pPr>
        <w:rPr>
          <w:rFonts w:cs="仿宋" w:asciiTheme="minorEastAsia" w:hAnsiTheme="minorEastAsia"/>
          <w:b/>
          <w:sz w:val="32"/>
        </w:rPr>
      </w:pPr>
    </w:p>
    <w:p>
      <w:pPr>
        <w:pStyle w:val="2"/>
      </w:pPr>
    </w:p>
    <w:p>
      <w:pPr>
        <w:pStyle w:val="2"/>
        <w:rPr>
          <w:rFonts w:cs="仿宋" w:asciiTheme="minorEastAsia" w:hAnsiTheme="minorEastAsia"/>
          <w:b/>
          <w:sz w:val="32"/>
        </w:rPr>
      </w:pP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default" w:cs="仿宋" w:asciiTheme="minorEastAsia" w:hAnsiTheme="minorEastAsia" w:eastAsiaTheme="minorEastAsia"/>
          <w:b/>
          <w:bCs/>
          <w:kern w:val="0"/>
          <w:vertAlign w:val="baseline"/>
          <w:lang w:val="en-US" w:eastAsia="zh-CN"/>
        </w:rPr>
      </w:pPr>
      <w:r>
        <w:rPr>
          <w:rFonts w:hint="eastAsia"/>
          <w:lang w:val="en-US"/>
        </w:rPr>
        <w:t>杭州临江环境能源有限公司因日常生产需要，需采购</w:t>
      </w:r>
      <w:r>
        <w:rPr>
          <w:rFonts w:hint="eastAsia"/>
          <w:lang w:val="en-US" w:eastAsia="zh-CN"/>
        </w:rPr>
        <w:t>消防泡沫液10吨</w:t>
      </w:r>
      <w:r>
        <w:rPr>
          <w:rFonts w:hint="eastAsia"/>
          <w:b/>
          <w:bCs/>
          <w:lang w:val="en-US" w:eastAsia="zh-CN"/>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2210"/>
        <w:gridCol w:w="1011"/>
        <w:gridCol w:w="1099"/>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vAlign w:val="center"/>
          </w:tcPr>
          <w:p>
            <w:pPr>
              <w:pStyle w:val="6"/>
              <w:jc w:val="center"/>
              <w:rPr>
                <w:rFonts w:hint="default" w:cs="仿宋" w:asciiTheme="minorEastAsia" w:hAnsiTheme="minorEastAsia" w:eastAsiaTheme="minorEastAsia"/>
                <w:b/>
                <w:bCs/>
                <w:kern w:val="0"/>
                <w:vertAlign w:val="baseline"/>
                <w:lang w:val="en-US" w:eastAsia="zh-CN"/>
              </w:rPr>
            </w:pPr>
            <w:r>
              <w:rPr>
                <w:rFonts w:hint="eastAsia" w:cs="仿宋" w:asciiTheme="minorEastAsia" w:hAnsiTheme="minorEastAsia"/>
                <w:b/>
                <w:bCs/>
                <w:kern w:val="0"/>
                <w:vertAlign w:val="baseline"/>
                <w:lang w:val="en-US" w:eastAsia="zh-CN"/>
              </w:rPr>
              <w:t>货物名称</w:t>
            </w:r>
          </w:p>
        </w:tc>
        <w:tc>
          <w:tcPr>
            <w:tcW w:w="2210" w:type="dxa"/>
            <w:vAlign w:val="center"/>
          </w:tcPr>
          <w:p>
            <w:pPr>
              <w:pStyle w:val="6"/>
              <w:jc w:val="center"/>
              <w:rPr>
                <w:rFonts w:hint="default" w:cs="仿宋" w:asciiTheme="minorEastAsia" w:hAnsiTheme="minorEastAsia" w:eastAsiaTheme="minorEastAsia"/>
                <w:b/>
                <w:bCs/>
                <w:kern w:val="0"/>
                <w:vertAlign w:val="baseline"/>
                <w:lang w:val="en-US" w:eastAsia="zh-CN"/>
              </w:rPr>
            </w:pPr>
            <w:r>
              <w:rPr>
                <w:rFonts w:hint="eastAsia" w:cs="仿宋" w:asciiTheme="minorEastAsia" w:hAnsiTheme="minorEastAsia"/>
                <w:b/>
                <w:bCs/>
                <w:kern w:val="0"/>
                <w:vertAlign w:val="baseline"/>
                <w:lang w:val="en-US" w:eastAsia="zh-CN"/>
              </w:rPr>
              <w:t>规格型号</w:t>
            </w:r>
          </w:p>
        </w:tc>
        <w:tc>
          <w:tcPr>
            <w:tcW w:w="1011" w:type="dxa"/>
            <w:vAlign w:val="center"/>
          </w:tcPr>
          <w:p>
            <w:pPr>
              <w:pStyle w:val="6"/>
              <w:jc w:val="center"/>
              <w:rPr>
                <w:rFonts w:hint="default" w:cs="仿宋" w:asciiTheme="minorEastAsia" w:hAnsiTheme="minorEastAsia" w:eastAsiaTheme="minorEastAsia"/>
                <w:b/>
                <w:bCs/>
                <w:kern w:val="0"/>
                <w:vertAlign w:val="baseline"/>
                <w:lang w:val="en-US" w:eastAsia="zh-CN"/>
              </w:rPr>
            </w:pPr>
            <w:r>
              <w:rPr>
                <w:rFonts w:hint="eastAsia" w:cs="仿宋" w:asciiTheme="minorEastAsia" w:hAnsiTheme="minorEastAsia"/>
                <w:b/>
                <w:bCs/>
                <w:kern w:val="0"/>
                <w:vertAlign w:val="baseline"/>
                <w:lang w:val="en-US" w:eastAsia="zh-CN"/>
              </w:rPr>
              <w:t>单位</w:t>
            </w:r>
          </w:p>
        </w:tc>
        <w:tc>
          <w:tcPr>
            <w:tcW w:w="1099" w:type="dxa"/>
            <w:vAlign w:val="center"/>
          </w:tcPr>
          <w:p>
            <w:pPr>
              <w:pStyle w:val="6"/>
              <w:jc w:val="center"/>
              <w:rPr>
                <w:rFonts w:hint="default" w:cs="仿宋" w:asciiTheme="minorEastAsia" w:hAnsiTheme="minorEastAsia" w:eastAsiaTheme="minorEastAsia"/>
                <w:b/>
                <w:bCs/>
                <w:kern w:val="0"/>
                <w:vertAlign w:val="baseline"/>
                <w:lang w:val="en-US" w:eastAsia="zh-CN"/>
              </w:rPr>
            </w:pPr>
            <w:r>
              <w:rPr>
                <w:rFonts w:hint="eastAsia" w:cs="仿宋" w:asciiTheme="minorEastAsia" w:hAnsiTheme="minorEastAsia"/>
                <w:b/>
                <w:bCs/>
                <w:kern w:val="0"/>
                <w:vertAlign w:val="baseline"/>
                <w:lang w:val="en-US" w:eastAsia="zh-CN"/>
              </w:rPr>
              <w:t>数量</w:t>
            </w:r>
          </w:p>
        </w:tc>
        <w:tc>
          <w:tcPr>
            <w:tcW w:w="2589" w:type="dxa"/>
            <w:vAlign w:val="center"/>
          </w:tcPr>
          <w:p>
            <w:pPr>
              <w:pStyle w:val="6"/>
              <w:jc w:val="center"/>
              <w:rPr>
                <w:rFonts w:hint="default" w:cs="仿宋" w:asciiTheme="minorEastAsia" w:hAnsiTheme="minorEastAsia"/>
                <w:b/>
                <w:bCs/>
                <w:kern w:val="0"/>
                <w:vertAlign w:val="baseline"/>
                <w:lang w:val="en-US" w:eastAsia="zh-CN"/>
              </w:rPr>
            </w:pPr>
            <w:r>
              <w:rPr>
                <w:rFonts w:hint="eastAsia" w:cs="仿宋" w:asciiTheme="minorEastAsia" w:hAnsiTheme="minorEastAsia"/>
                <w:b/>
                <w:bCs/>
                <w:kern w:val="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vAlign w:val="center"/>
          </w:tcPr>
          <w:p>
            <w:pPr>
              <w:keepNext w:val="0"/>
              <w:keepLines w:val="0"/>
              <w:widowControl/>
              <w:suppressLineNumbers w:val="0"/>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抗溶性水成膜泡沫</w:t>
            </w:r>
          </w:p>
          <w:p>
            <w:pPr>
              <w:keepNext w:val="0"/>
              <w:keepLines w:val="0"/>
              <w:widowControl/>
              <w:suppressLineNumbers w:val="0"/>
              <w:jc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灭火剂</w:t>
            </w:r>
          </w:p>
        </w:tc>
        <w:tc>
          <w:tcPr>
            <w:tcW w:w="2210" w:type="dxa"/>
            <w:vAlign w:val="center"/>
          </w:tcPr>
          <w:p>
            <w:pPr>
              <w:keepNext w:val="0"/>
              <w:keepLines w:val="0"/>
              <w:widowControl/>
              <w:suppressLineNumbers w:val="0"/>
              <w:jc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AFFF/AR-6%</w:t>
            </w:r>
            <w:r>
              <w:rPr>
                <w:rFonts w:hint="eastAsia" w:ascii="宋体" w:hAnsi="Arial" w:cs="Arial"/>
                <w:snapToGrid w:val="0"/>
                <w:kern w:val="2"/>
                <w:sz w:val="24"/>
                <w:szCs w:val="21"/>
                <w:lang w:val="en-US" w:eastAsia="zh-CN" w:bidi="ar-SA"/>
              </w:rPr>
              <w:t>，满足GB15308-2006《泡沫灭火剂》标准，凝固点-10℃。</w:t>
            </w:r>
          </w:p>
        </w:tc>
        <w:tc>
          <w:tcPr>
            <w:tcW w:w="1011" w:type="dxa"/>
            <w:vAlign w:val="center"/>
          </w:tcPr>
          <w:p>
            <w:pPr>
              <w:pStyle w:val="6"/>
              <w:jc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吨</w:t>
            </w:r>
          </w:p>
        </w:tc>
        <w:tc>
          <w:tcPr>
            <w:tcW w:w="1099" w:type="dxa"/>
            <w:vAlign w:val="center"/>
          </w:tcPr>
          <w:p>
            <w:pPr>
              <w:pStyle w:val="6"/>
              <w:jc w:val="center"/>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10</w:t>
            </w:r>
          </w:p>
        </w:tc>
        <w:tc>
          <w:tcPr>
            <w:tcW w:w="2589" w:type="dxa"/>
            <w:vAlign w:val="center"/>
          </w:tcPr>
          <w:p>
            <w:pPr>
              <w:pStyle w:val="6"/>
              <w:jc w:val="center"/>
              <w:rPr>
                <w:rFonts w:hint="default" w:ascii="宋体" w:hAnsi="Arial" w:cs="Arial" w:eastAsiaTheme="minorEastAsia"/>
                <w:snapToGrid w:val="0"/>
                <w:kern w:val="2"/>
                <w:sz w:val="24"/>
                <w:szCs w:val="21"/>
                <w:lang w:val="en-US" w:eastAsia="zh-CN" w:bidi="ar-SA"/>
              </w:rPr>
            </w:pPr>
            <w:r>
              <w:rPr>
                <w:rFonts w:hint="eastAsia" w:cs="Arial"/>
                <w:snapToGrid w:val="0"/>
                <w:kern w:val="2"/>
                <w:sz w:val="24"/>
                <w:szCs w:val="21"/>
                <w:lang w:val="en-US" w:eastAsia="zh-CN" w:bidi="ar-SA"/>
              </w:rPr>
              <w:t>7吨需要旧液回收运走，新液充装；2吨装入消防车内；1吨为50KG塑料桶装备用，塑料桶不回收。</w:t>
            </w:r>
          </w:p>
        </w:tc>
      </w:tr>
    </w:tbl>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ind w:firstLine="480" w:firstLineChars="200"/>
        <w:rPr>
          <w:lang w:val="en-US"/>
        </w:rPr>
      </w:pPr>
      <w:r>
        <w:rPr>
          <w:rFonts w:hint="eastAsia"/>
          <w:lang w:val="en-US"/>
        </w:rPr>
        <w:t>1.合同期限：</w:t>
      </w:r>
      <w:r>
        <w:rPr>
          <w:rFonts w:hint="eastAsia"/>
          <w:lang w:val="en-US" w:eastAsia="zh-CN"/>
        </w:rPr>
        <w:t>一次性供货后合同自动终止</w:t>
      </w:r>
      <w:r>
        <w:rPr>
          <w:rFonts w:hint="eastAsia"/>
          <w:lang w:val="en-US"/>
        </w:rPr>
        <w:t>；</w:t>
      </w:r>
    </w:p>
    <w:p>
      <w:pPr>
        <w:pStyle w:val="6"/>
        <w:ind w:firstLine="480" w:firstLineChars="200"/>
        <w:rPr>
          <w:lang w:val="en-US"/>
        </w:rPr>
      </w:pPr>
      <w:r>
        <w:rPr>
          <w:rFonts w:hint="eastAsia"/>
          <w:lang w:val="en-US"/>
        </w:rPr>
        <w:t>2.履约方式：</w:t>
      </w:r>
      <w:r>
        <w:rPr>
          <w:rFonts w:hint="eastAsia"/>
          <w:lang w:val="en-US" w:eastAsia="zh-CN"/>
        </w:rPr>
        <w:t>按采购人订单一次性</w:t>
      </w:r>
      <w:r>
        <w:rPr>
          <w:rFonts w:hint="eastAsia"/>
          <w:lang w:val="en-US"/>
        </w:rPr>
        <w:t>交付</w:t>
      </w:r>
      <w:r>
        <w:rPr>
          <w:rFonts w:hint="eastAsia"/>
          <w:lang w:val="en-US" w:eastAsia="zh-CN"/>
        </w:rPr>
        <w:t>充装</w:t>
      </w:r>
      <w:r>
        <w:rPr>
          <w:rFonts w:hint="eastAsia"/>
          <w:lang w:val="en-US"/>
        </w:rPr>
        <w:t>。</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rFonts w:hint="eastAsia" w:ascii="宋体"/>
          <w:lang w:val="en-US" w:eastAsia="zh-CN"/>
        </w:rPr>
      </w:pPr>
      <w:r>
        <w:rPr>
          <w:rFonts w:hint="eastAsia" w:ascii="宋体"/>
          <w:lang w:val="en-US" w:eastAsia="zh-CN"/>
        </w:rPr>
        <w:t>1.</w:t>
      </w:r>
      <w:r>
        <w:rPr>
          <w:rFonts w:hint="eastAsia"/>
        </w:rPr>
        <w:t xml:space="preserve">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default"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2.有效期不少于2年。</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r>
        <w:rPr>
          <w:rFonts w:hint="eastAsia"/>
          <w:lang w:val="en-US" w:eastAsia="zh-CN"/>
        </w:rPr>
        <w:t>，并完成充装</w:t>
      </w:r>
      <w:r>
        <w:rPr>
          <w:rFonts w:hint="eastAsia"/>
          <w:lang w:val="en-US"/>
        </w:rPr>
        <w:t>。</w:t>
      </w:r>
    </w:p>
    <w:p>
      <w:pPr>
        <w:pStyle w:val="6"/>
        <w:ind w:firstLine="480" w:firstLineChars="200"/>
        <w:rPr>
          <w:lang w:val="en-US"/>
        </w:rPr>
      </w:pPr>
      <w:r>
        <w:rPr>
          <w:rFonts w:hint="eastAsia"/>
          <w:lang w:val="en-US"/>
        </w:rPr>
        <w:t>2.双方指定人员现场确认送货数量并由双方签字确认</w:t>
      </w:r>
      <w:r>
        <w:rPr>
          <w:rFonts w:hint="eastAsia"/>
          <w:lang w:val="en-US" w:eastAsia="zh-CN"/>
        </w:rPr>
        <w:t>,</w:t>
      </w:r>
      <w:r>
        <w:rPr>
          <w:rFonts w:hint="eastAsia"/>
          <w:lang w:val="en-US"/>
        </w:rPr>
        <w:t>数量以</w:t>
      </w:r>
      <w:r>
        <w:rPr>
          <w:rFonts w:hint="eastAsia"/>
          <w:lang w:val="en-US" w:eastAsia="zh-CN"/>
        </w:rPr>
        <w:t>采购人</w:t>
      </w:r>
      <w:r>
        <w:rPr>
          <w:rFonts w:hint="eastAsia"/>
          <w:lang w:val="en-US"/>
        </w:rPr>
        <w:t>过磅净重为结算依据，若</w:t>
      </w:r>
      <w:r>
        <w:rPr>
          <w:rFonts w:hint="eastAsia"/>
          <w:lang w:val="en-US" w:eastAsia="zh-CN"/>
        </w:rPr>
        <w:t>采购人</w:t>
      </w:r>
      <w:r>
        <w:rPr>
          <w:rFonts w:hint="eastAsia"/>
          <w:lang w:val="en-US"/>
        </w:rPr>
        <w:t>过磅净重小于</w:t>
      </w:r>
      <w:r>
        <w:rPr>
          <w:rFonts w:hint="eastAsia"/>
          <w:lang w:val="en-US" w:eastAsia="zh-CN"/>
        </w:rPr>
        <w:t>中标人</w:t>
      </w:r>
      <w:r>
        <w:rPr>
          <w:rFonts w:hint="eastAsia"/>
          <w:lang w:val="en-US"/>
        </w:rPr>
        <w:t>提供的送货数量，以</w:t>
      </w:r>
      <w:r>
        <w:rPr>
          <w:rFonts w:hint="eastAsia"/>
          <w:lang w:val="en-US" w:eastAsia="zh-CN"/>
        </w:rPr>
        <w:t>采购人</w:t>
      </w:r>
      <w:r>
        <w:rPr>
          <w:rFonts w:hint="eastAsia"/>
          <w:lang w:val="en-US"/>
        </w:rPr>
        <w:t>过磅净重为准；若</w:t>
      </w:r>
      <w:r>
        <w:rPr>
          <w:rFonts w:hint="eastAsia"/>
          <w:lang w:val="en-US" w:eastAsia="zh-CN"/>
        </w:rPr>
        <w:t>采购人</w:t>
      </w:r>
      <w:r>
        <w:rPr>
          <w:rFonts w:hint="eastAsia"/>
          <w:lang w:val="en-US"/>
        </w:rPr>
        <w:t>过磅净重大于等于</w:t>
      </w:r>
      <w:r>
        <w:rPr>
          <w:rFonts w:hint="eastAsia"/>
          <w:lang w:val="en-US" w:eastAsia="zh-CN"/>
        </w:rPr>
        <w:t>中标人</w:t>
      </w:r>
      <w:r>
        <w:rPr>
          <w:rFonts w:hint="eastAsia"/>
          <w:lang w:val="en-US"/>
        </w:rPr>
        <w:t>提供的送货数量，以</w:t>
      </w:r>
      <w:r>
        <w:rPr>
          <w:rFonts w:hint="eastAsia"/>
          <w:lang w:val="en-US" w:eastAsia="zh-CN"/>
        </w:rPr>
        <w:t>中标人</w:t>
      </w:r>
      <w:r>
        <w:rPr>
          <w:rFonts w:hint="eastAsia"/>
          <w:lang w:val="en-US"/>
        </w:rPr>
        <w:t>的送货数量为准。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rFonts w:hint="default" w:ascii="宋体"/>
          <w:lang w:val="en-US" w:eastAsia="zh-CN"/>
        </w:rPr>
      </w:pPr>
      <w:r>
        <w:rPr>
          <w:rFonts w:hint="eastAsia" w:ascii="宋体"/>
          <w:lang w:val="en-US" w:eastAsia="zh-CN"/>
        </w:rPr>
        <w:t>1.7吨需要旧液回收运走，新液充装</w:t>
      </w:r>
      <w:r>
        <w:rPr>
          <w:rFonts w:hint="eastAsia"/>
          <w:lang w:val="en-US" w:eastAsia="zh-CN"/>
        </w:rPr>
        <w:t>；</w:t>
      </w:r>
      <w:r>
        <w:rPr>
          <w:rFonts w:hint="eastAsia" w:ascii="宋体"/>
          <w:lang w:val="en-US" w:eastAsia="zh-CN"/>
        </w:rPr>
        <w:t>2吨装入消防车内</w:t>
      </w:r>
      <w:r>
        <w:rPr>
          <w:rFonts w:hint="eastAsia"/>
          <w:lang w:val="en-US" w:eastAsia="zh-CN"/>
        </w:rPr>
        <w:t>；</w:t>
      </w:r>
      <w:r>
        <w:rPr>
          <w:rFonts w:hint="eastAsia" w:ascii="宋体"/>
          <w:lang w:val="en-US" w:eastAsia="zh-CN"/>
        </w:rPr>
        <w:t>1吨为塑料装装备用，塑料桶不回收。</w:t>
      </w:r>
    </w:p>
    <w:p>
      <w:pPr>
        <w:pStyle w:val="6"/>
        <w:ind w:firstLine="480" w:firstLineChars="200"/>
        <w:rPr>
          <w:lang w:val="en-US"/>
        </w:rPr>
      </w:pPr>
      <w:r>
        <w:rPr>
          <w:rFonts w:hint="eastAsia" w:ascii="宋体"/>
          <w:lang w:val="en-US" w:eastAsia="zh-CN"/>
        </w:rPr>
        <w:t>2.</w:t>
      </w:r>
      <w:r>
        <w:rPr>
          <w:rFonts w:hint="eastAsia" w:ascii="宋体"/>
          <w:lang w:val="en-US"/>
        </w:rPr>
        <w:t>根据采购人计划，确定送货数量要求，</w:t>
      </w:r>
      <w:r>
        <w:rPr>
          <w:rFonts w:hint="eastAsia" w:ascii="宋体"/>
          <w:lang w:val="en-US" w:eastAsia="zh-CN"/>
        </w:rPr>
        <w:t>一次性供货</w:t>
      </w:r>
      <w:r>
        <w:rPr>
          <w:rFonts w:hint="eastAsia" w:ascii="宋体"/>
          <w:lang w:val="en-US"/>
        </w:rPr>
        <w:t>，中标人负责在接到采购人电话或书面通知后在</w:t>
      </w:r>
      <w:r>
        <w:rPr>
          <w:rFonts w:hint="eastAsia" w:ascii="宋体"/>
          <w:lang w:val="en-US" w:eastAsia="zh-CN"/>
        </w:rPr>
        <w:t>30日内</w:t>
      </w:r>
      <w:r>
        <w:rPr>
          <w:rFonts w:hint="eastAsia" w:ascii="宋体"/>
          <w:lang w:val="en-US"/>
        </w:rPr>
        <w:t>完成供货</w:t>
      </w:r>
      <w:r>
        <w:rPr>
          <w:rFonts w:hint="eastAsia"/>
          <w:lang w:val="en-US" w:eastAsia="zh-CN"/>
        </w:rPr>
        <w:t>并完成充装</w:t>
      </w:r>
      <w:r>
        <w:rPr>
          <w:rFonts w:hint="eastAsia" w:ascii="宋体"/>
          <w:lang w:val="en-US"/>
        </w:rPr>
        <w:t>。中标人负责卸货，人工费由中标人承担，采购人可免费提供叉车服</w:t>
      </w:r>
      <w:r>
        <w:rPr>
          <w:rFonts w:hint="eastAsia"/>
          <w:lang w:val="en-US"/>
        </w:rPr>
        <w:t>务。</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lang w:val="en-US"/>
        </w:rPr>
      </w:pPr>
      <w:r>
        <w:rPr>
          <w:rFonts w:hint="eastAsia"/>
          <w:lang w:val="en-US"/>
        </w:rPr>
        <w:t>1.中标人必须满足采购人售后服务要求。如使用过程发生问题，中标人须在接到采购人通知后必须4小时内赶到现场进行处理，</w:t>
      </w:r>
      <w:r>
        <w:rPr>
          <w:rFonts w:hint="eastAsia"/>
          <w:lang w:val="en-US" w:eastAsia="zh-CN"/>
        </w:rPr>
        <w:t>24</w:t>
      </w:r>
      <w:r>
        <w:rPr>
          <w:rFonts w:hint="eastAsia"/>
          <w:lang w:val="en-US"/>
        </w:rPr>
        <w:t>小时内做出书面答复并提供解决方案。若需要派遣技术人员，则应在接到采购人通知后,</w:t>
      </w:r>
      <w:r>
        <w:rPr>
          <w:rFonts w:hint="eastAsia"/>
          <w:lang w:val="en-US" w:eastAsia="zh-CN"/>
        </w:rPr>
        <w:t>48</w:t>
      </w:r>
      <w:r>
        <w:rPr>
          <w:rFonts w:hint="eastAsia"/>
          <w:lang w:val="en-US"/>
        </w:rPr>
        <w:t>小时内派人员到达现场进行免费指导解决问题。</w:t>
      </w:r>
    </w:p>
    <w:p>
      <w:pPr>
        <w:pStyle w:val="6"/>
        <w:ind w:firstLine="480" w:firstLineChars="200"/>
        <w:rPr>
          <w:lang w:val="en-US"/>
        </w:rPr>
      </w:pPr>
      <w:r>
        <w:rPr>
          <w:rFonts w:hint="eastAsia"/>
          <w:lang w:val="en-US"/>
        </w:rPr>
        <w:t>2.采购人不再对任何售后服务进行付费。中标人的派遣人员产生的一切费用由供应商承担。</w:t>
      </w:r>
    </w:p>
    <w:p>
      <w:pPr>
        <w:pStyle w:val="6"/>
        <w:ind w:firstLine="480" w:firstLineChars="200"/>
        <w:rPr>
          <w:lang w:val="en-US"/>
        </w:rPr>
      </w:pPr>
      <w:r>
        <w:rPr>
          <w:rFonts w:hint="eastAsia"/>
          <w:lang w:val="en-US"/>
        </w:rPr>
        <w:t>3.在</w:t>
      </w:r>
      <w:r>
        <w:rPr>
          <w:rFonts w:hint="eastAsia"/>
          <w:lang w:val="en-US" w:eastAsia="zh-CN"/>
        </w:rPr>
        <w:t>设备</w:t>
      </w:r>
      <w:r>
        <w:rPr>
          <w:rFonts w:hint="eastAsia"/>
          <w:lang w:val="en-US"/>
        </w:rPr>
        <w:t>使用过程中，</w:t>
      </w:r>
      <w:r>
        <w:rPr>
          <w:rFonts w:hint="eastAsia"/>
          <w:lang w:val="en-US" w:eastAsia="zh-CN"/>
        </w:rPr>
        <w:t>因产品质量问题</w:t>
      </w:r>
      <w:r>
        <w:rPr>
          <w:rFonts w:hint="eastAsia"/>
          <w:lang w:val="en-US"/>
        </w:rPr>
        <w:t>给他机械设备造成故障或货物损坏，由中标人承担采购人的一切损失，包括直接和间接损失。</w:t>
      </w:r>
    </w:p>
    <w:p/>
    <w:p>
      <w:pPr>
        <w:pStyle w:val="2"/>
      </w:pP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3303"/>
      <w:bookmarkEnd w:id="19"/>
      <w:bookmarkStart w:id="20" w:name="_Toc184308096"/>
      <w:bookmarkEnd w:id="20"/>
      <w:bookmarkStart w:id="21" w:name="_Toc184314449"/>
      <w:bookmarkEnd w:id="21"/>
      <w:bookmarkStart w:id="22" w:name="_Toc184312135"/>
      <w:bookmarkEnd w:id="22"/>
      <w:bookmarkStart w:id="23" w:name="_Toc184308088"/>
      <w:bookmarkEnd w:id="23"/>
      <w:bookmarkStart w:id="24" w:name="_Toc184313251"/>
      <w:bookmarkEnd w:id="24"/>
      <w:bookmarkStart w:id="25" w:name="_Toc184312120"/>
      <w:bookmarkEnd w:id="25"/>
      <w:bookmarkStart w:id="26" w:name="_Toc184308040"/>
      <w:bookmarkEnd w:id="26"/>
      <w:bookmarkStart w:id="27" w:name="_Toc184314424"/>
      <w:bookmarkEnd w:id="27"/>
      <w:bookmarkStart w:id="28" w:name="_Toc184313262"/>
      <w:bookmarkEnd w:id="28"/>
      <w:bookmarkStart w:id="29" w:name="_Toc184308100"/>
      <w:bookmarkEnd w:id="29"/>
      <w:bookmarkStart w:id="30" w:name="_Toc184308083"/>
      <w:bookmarkEnd w:id="30"/>
      <w:bookmarkStart w:id="31" w:name="_Toc184314444"/>
      <w:bookmarkEnd w:id="31"/>
      <w:bookmarkStart w:id="32" w:name="_Toc184314415"/>
      <w:bookmarkEnd w:id="32"/>
      <w:bookmarkStart w:id="33" w:name="_Toc184310281"/>
      <w:bookmarkEnd w:id="33"/>
      <w:bookmarkStart w:id="34" w:name="_Toc184308084"/>
      <w:bookmarkEnd w:id="34"/>
      <w:bookmarkStart w:id="35" w:name="_Toc184314459"/>
      <w:bookmarkEnd w:id="35"/>
      <w:bookmarkStart w:id="36" w:name="_Toc184313244"/>
      <w:bookmarkEnd w:id="36"/>
      <w:bookmarkStart w:id="37" w:name="_Toc184314420"/>
      <w:bookmarkEnd w:id="37"/>
      <w:bookmarkStart w:id="38" w:name="_Toc184313268"/>
      <w:bookmarkEnd w:id="38"/>
      <w:bookmarkStart w:id="39" w:name="_Toc184313288"/>
      <w:bookmarkEnd w:id="39"/>
      <w:bookmarkStart w:id="40" w:name="_Toc184314477"/>
      <w:bookmarkEnd w:id="40"/>
      <w:bookmarkStart w:id="41" w:name="_Toc184308066"/>
      <w:bookmarkEnd w:id="41"/>
      <w:bookmarkStart w:id="42" w:name="_Toc184308082"/>
      <w:bookmarkEnd w:id="42"/>
      <w:bookmarkStart w:id="43" w:name="_Toc184314464"/>
      <w:bookmarkEnd w:id="43"/>
      <w:bookmarkStart w:id="44" w:name="_Toc184312082"/>
      <w:bookmarkEnd w:id="44"/>
      <w:bookmarkStart w:id="45" w:name="_Toc184308038"/>
      <w:bookmarkEnd w:id="45"/>
      <w:bookmarkStart w:id="46" w:name="_Toc184308091"/>
      <w:bookmarkEnd w:id="46"/>
      <w:bookmarkStart w:id="47" w:name="_Toc184314419"/>
      <w:bookmarkEnd w:id="47"/>
      <w:bookmarkStart w:id="48" w:name="_Toc184313284"/>
      <w:bookmarkEnd w:id="48"/>
      <w:bookmarkStart w:id="49" w:name="_Toc184314453"/>
      <w:bookmarkEnd w:id="49"/>
      <w:bookmarkStart w:id="50" w:name="_Toc184312088"/>
      <w:bookmarkEnd w:id="50"/>
      <w:bookmarkStart w:id="51" w:name="_Toc184313265"/>
      <w:bookmarkEnd w:id="51"/>
      <w:bookmarkStart w:id="52" w:name="_Toc184314474"/>
      <w:bookmarkEnd w:id="52"/>
      <w:bookmarkStart w:id="53" w:name="_Toc184314414"/>
      <w:bookmarkEnd w:id="53"/>
      <w:bookmarkStart w:id="54" w:name="_Toc184313271"/>
      <w:bookmarkEnd w:id="54"/>
      <w:bookmarkStart w:id="55" w:name="_Toc184310324"/>
      <w:bookmarkEnd w:id="55"/>
      <w:bookmarkStart w:id="56" w:name="_Toc184312097"/>
      <w:bookmarkEnd w:id="56"/>
      <w:bookmarkStart w:id="57" w:name="_Toc184308108"/>
      <w:bookmarkEnd w:id="57"/>
      <w:bookmarkStart w:id="58" w:name="_Toc184310331"/>
      <w:bookmarkEnd w:id="58"/>
      <w:bookmarkStart w:id="59" w:name="_Toc184314427"/>
      <w:bookmarkEnd w:id="59"/>
      <w:bookmarkStart w:id="60" w:name="_Toc184313243"/>
      <w:bookmarkEnd w:id="60"/>
      <w:bookmarkStart w:id="61" w:name="_Toc184314461"/>
      <w:bookmarkEnd w:id="61"/>
      <w:bookmarkStart w:id="62" w:name="_Toc184313309"/>
      <w:bookmarkEnd w:id="62"/>
      <w:bookmarkStart w:id="63" w:name="_Toc184310334"/>
      <w:bookmarkEnd w:id="63"/>
      <w:bookmarkStart w:id="64" w:name="_Toc184313256"/>
      <w:bookmarkEnd w:id="64"/>
      <w:bookmarkStart w:id="65" w:name="_Toc184308046"/>
      <w:bookmarkEnd w:id="65"/>
      <w:bookmarkStart w:id="66" w:name="_Toc184313308"/>
      <w:bookmarkEnd w:id="66"/>
      <w:bookmarkStart w:id="67" w:name="_Toc184310291"/>
      <w:bookmarkEnd w:id="67"/>
      <w:bookmarkStart w:id="68" w:name="_Toc184308081"/>
      <w:bookmarkEnd w:id="68"/>
      <w:bookmarkStart w:id="69" w:name="_Toc184308069"/>
      <w:bookmarkEnd w:id="69"/>
      <w:bookmarkStart w:id="70" w:name="_Toc184310315"/>
      <w:bookmarkEnd w:id="70"/>
      <w:bookmarkStart w:id="71" w:name="_Toc184310309"/>
      <w:bookmarkEnd w:id="71"/>
      <w:bookmarkStart w:id="72" w:name="_Toc184308052"/>
      <w:bookmarkEnd w:id="72"/>
      <w:bookmarkStart w:id="73" w:name="_Toc184314463"/>
      <w:bookmarkEnd w:id="73"/>
      <w:bookmarkStart w:id="74" w:name="_Toc184308039"/>
      <w:bookmarkEnd w:id="74"/>
      <w:bookmarkStart w:id="75" w:name="_Toc184308041"/>
      <w:bookmarkEnd w:id="75"/>
      <w:bookmarkStart w:id="76" w:name="_Toc184312107"/>
      <w:bookmarkEnd w:id="76"/>
      <w:bookmarkStart w:id="77" w:name="_Toc184314478"/>
      <w:bookmarkEnd w:id="77"/>
      <w:bookmarkStart w:id="78" w:name="_Toc184312129"/>
      <w:bookmarkEnd w:id="78"/>
      <w:bookmarkStart w:id="79" w:name="_Toc184308042"/>
      <w:bookmarkEnd w:id="79"/>
      <w:bookmarkStart w:id="80" w:name="_Toc184308056"/>
      <w:bookmarkEnd w:id="80"/>
      <w:bookmarkStart w:id="81" w:name="_Toc184310344"/>
      <w:bookmarkEnd w:id="81"/>
      <w:bookmarkStart w:id="82" w:name="_Toc184314430"/>
      <w:bookmarkEnd w:id="82"/>
      <w:bookmarkStart w:id="83" w:name="_Toc184308050"/>
      <w:bookmarkEnd w:id="83"/>
      <w:bookmarkStart w:id="84" w:name="_Toc184308045"/>
      <w:bookmarkEnd w:id="84"/>
      <w:bookmarkStart w:id="85" w:name="_Toc184312128"/>
      <w:bookmarkEnd w:id="85"/>
      <w:bookmarkStart w:id="86" w:name="_Toc184313264"/>
      <w:bookmarkEnd w:id="86"/>
      <w:bookmarkStart w:id="87" w:name="_Toc184312068"/>
      <w:bookmarkEnd w:id="87"/>
      <w:bookmarkStart w:id="88" w:name="_Toc184308074"/>
      <w:bookmarkEnd w:id="88"/>
      <w:bookmarkStart w:id="89" w:name="_Toc184314411"/>
      <w:bookmarkEnd w:id="89"/>
      <w:bookmarkStart w:id="90" w:name="_Toc184312091"/>
      <w:bookmarkEnd w:id="90"/>
      <w:bookmarkStart w:id="91" w:name="_Toc184314450"/>
      <w:bookmarkEnd w:id="91"/>
      <w:bookmarkStart w:id="92" w:name="_Toc184314454"/>
      <w:bookmarkEnd w:id="92"/>
      <w:bookmarkStart w:id="93" w:name="_Toc184312126"/>
      <w:bookmarkEnd w:id="93"/>
      <w:bookmarkStart w:id="94" w:name="_Toc184310284"/>
      <w:bookmarkEnd w:id="94"/>
      <w:bookmarkStart w:id="95" w:name="_Toc184310325"/>
      <w:bookmarkEnd w:id="95"/>
      <w:bookmarkStart w:id="96" w:name="_Toc184308095"/>
      <w:bookmarkEnd w:id="96"/>
      <w:bookmarkStart w:id="97" w:name="_Toc184313273"/>
      <w:bookmarkEnd w:id="97"/>
      <w:bookmarkStart w:id="98" w:name="_Toc184313247"/>
      <w:bookmarkEnd w:id="98"/>
      <w:bookmarkStart w:id="99" w:name="_Toc184308078"/>
      <w:bookmarkEnd w:id="99"/>
      <w:bookmarkStart w:id="100" w:name="_Toc184308054"/>
      <w:bookmarkEnd w:id="100"/>
      <w:bookmarkStart w:id="101" w:name="_Toc184313239"/>
      <w:bookmarkEnd w:id="101"/>
      <w:bookmarkStart w:id="102" w:name="_Toc184313290"/>
      <w:bookmarkEnd w:id="102"/>
      <w:bookmarkStart w:id="103" w:name="_Toc184308043"/>
      <w:bookmarkEnd w:id="103"/>
      <w:bookmarkStart w:id="104" w:name="_Toc184308070"/>
      <w:bookmarkEnd w:id="104"/>
      <w:bookmarkStart w:id="105" w:name="_Toc184308055"/>
      <w:bookmarkEnd w:id="105"/>
      <w:bookmarkStart w:id="106" w:name="_Toc184308061"/>
      <w:bookmarkEnd w:id="106"/>
      <w:bookmarkStart w:id="107" w:name="_Toc184313249"/>
      <w:bookmarkEnd w:id="107"/>
      <w:bookmarkStart w:id="108" w:name="_Toc184308079"/>
      <w:bookmarkEnd w:id="108"/>
      <w:bookmarkStart w:id="109" w:name="_Toc184312115"/>
      <w:bookmarkEnd w:id="109"/>
      <w:bookmarkStart w:id="110" w:name="_Toc184314462"/>
      <w:bookmarkEnd w:id="110"/>
      <w:bookmarkStart w:id="111" w:name="_Toc184308107"/>
      <w:bookmarkEnd w:id="111"/>
      <w:bookmarkStart w:id="112" w:name="_Toc184312084"/>
      <w:bookmarkEnd w:id="112"/>
      <w:bookmarkStart w:id="113" w:name="_Toc184312087"/>
      <w:bookmarkEnd w:id="113"/>
      <w:bookmarkStart w:id="114" w:name="_Toc184312106"/>
      <w:bookmarkEnd w:id="114"/>
      <w:bookmarkStart w:id="115" w:name="_Toc184310320"/>
      <w:bookmarkEnd w:id="115"/>
      <w:bookmarkStart w:id="116" w:name="_Toc184310279"/>
      <w:bookmarkEnd w:id="116"/>
      <w:bookmarkStart w:id="117" w:name="_Toc184308057"/>
      <w:bookmarkEnd w:id="117"/>
      <w:bookmarkStart w:id="118" w:name="_Toc184310311"/>
      <w:bookmarkEnd w:id="118"/>
      <w:bookmarkStart w:id="119" w:name="_Toc184312074"/>
      <w:bookmarkEnd w:id="119"/>
      <w:bookmarkStart w:id="120" w:name="_Toc184313305"/>
      <w:bookmarkEnd w:id="120"/>
      <w:bookmarkStart w:id="121" w:name="_Toc184312085"/>
      <w:bookmarkEnd w:id="121"/>
      <w:bookmarkStart w:id="122" w:name="_Toc184314471"/>
      <w:bookmarkEnd w:id="122"/>
      <w:bookmarkStart w:id="123" w:name="_Toc184310339"/>
      <w:bookmarkEnd w:id="123"/>
      <w:bookmarkStart w:id="124" w:name="_Toc184314467"/>
      <w:bookmarkEnd w:id="124"/>
      <w:bookmarkStart w:id="125" w:name="_Toc184312121"/>
      <w:bookmarkEnd w:id="125"/>
      <w:bookmarkStart w:id="126" w:name="_Toc184308085"/>
      <w:bookmarkEnd w:id="126"/>
      <w:bookmarkStart w:id="127" w:name="_Toc184314417"/>
      <w:bookmarkEnd w:id="127"/>
      <w:bookmarkStart w:id="128" w:name="_Toc184313283"/>
      <w:bookmarkEnd w:id="128"/>
      <w:bookmarkStart w:id="129" w:name="_Toc184314480"/>
      <w:bookmarkEnd w:id="129"/>
      <w:bookmarkStart w:id="130" w:name="_Toc184310285"/>
      <w:bookmarkEnd w:id="130"/>
      <w:bookmarkStart w:id="131" w:name="_Toc184313299"/>
      <w:bookmarkEnd w:id="131"/>
      <w:bookmarkStart w:id="132" w:name="_Toc184312099"/>
      <w:bookmarkEnd w:id="132"/>
      <w:bookmarkStart w:id="133" w:name="_Toc184310341"/>
      <w:bookmarkEnd w:id="133"/>
      <w:bookmarkStart w:id="134" w:name="_Toc184314457"/>
      <w:bookmarkEnd w:id="134"/>
      <w:bookmarkStart w:id="135" w:name="_Toc184310289"/>
      <w:bookmarkEnd w:id="135"/>
      <w:bookmarkStart w:id="136" w:name="_Toc184310316"/>
      <w:bookmarkEnd w:id="136"/>
      <w:bookmarkStart w:id="137" w:name="_Toc184308059"/>
      <w:bookmarkEnd w:id="137"/>
      <w:bookmarkStart w:id="138" w:name="_Toc184308068"/>
      <w:bookmarkEnd w:id="138"/>
      <w:bookmarkStart w:id="139" w:name="_Toc184312090"/>
      <w:bookmarkEnd w:id="139"/>
      <w:bookmarkStart w:id="140" w:name="_Toc184313240"/>
      <w:bookmarkEnd w:id="140"/>
      <w:bookmarkStart w:id="141" w:name="_Toc184313253"/>
      <w:bookmarkEnd w:id="141"/>
      <w:bookmarkStart w:id="142" w:name="_Toc184314439"/>
      <w:bookmarkEnd w:id="142"/>
      <w:bookmarkStart w:id="143" w:name="_Toc184313269"/>
      <w:bookmarkEnd w:id="143"/>
      <w:bookmarkStart w:id="144" w:name="_Toc184314416"/>
      <w:bookmarkEnd w:id="144"/>
      <w:bookmarkStart w:id="145" w:name="_Toc184312133"/>
      <w:bookmarkEnd w:id="145"/>
      <w:bookmarkStart w:id="146" w:name="_Toc184310282"/>
      <w:bookmarkEnd w:id="146"/>
      <w:bookmarkStart w:id="147" w:name="_Toc184310296"/>
      <w:bookmarkEnd w:id="147"/>
      <w:bookmarkStart w:id="148" w:name="_Toc184310338"/>
      <w:bookmarkEnd w:id="148"/>
      <w:bookmarkStart w:id="149" w:name="_Toc184313310"/>
      <w:bookmarkEnd w:id="149"/>
      <w:bookmarkStart w:id="150" w:name="_Toc184310276"/>
      <w:bookmarkEnd w:id="150"/>
      <w:bookmarkStart w:id="151" w:name="_Toc184313252"/>
      <w:bookmarkEnd w:id="151"/>
      <w:bookmarkStart w:id="152" w:name="_Toc184314482"/>
      <w:bookmarkEnd w:id="152"/>
      <w:bookmarkStart w:id="153" w:name="_Toc184312116"/>
      <w:bookmarkEnd w:id="153"/>
      <w:bookmarkStart w:id="154" w:name="_Toc184314451"/>
      <w:bookmarkEnd w:id="154"/>
      <w:bookmarkStart w:id="155" w:name="_Toc184308097"/>
      <w:bookmarkEnd w:id="155"/>
      <w:bookmarkStart w:id="156" w:name="_Toc184312079"/>
      <w:bookmarkEnd w:id="156"/>
      <w:bookmarkStart w:id="157" w:name="_Toc184312092"/>
      <w:bookmarkEnd w:id="157"/>
      <w:bookmarkStart w:id="158" w:name="_Toc184312093"/>
      <w:bookmarkEnd w:id="158"/>
      <w:bookmarkStart w:id="159" w:name="_Toc184310342"/>
      <w:bookmarkEnd w:id="159"/>
      <w:bookmarkStart w:id="160" w:name="_Toc184308064"/>
      <w:bookmarkEnd w:id="160"/>
      <w:bookmarkStart w:id="161" w:name="_Toc184313279"/>
      <w:bookmarkEnd w:id="161"/>
      <w:bookmarkStart w:id="162" w:name="_Toc184313266"/>
      <w:bookmarkEnd w:id="162"/>
      <w:bookmarkStart w:id="163" w:name="_Toc184310318"/>
      <w:bookmarkEnd w:id="163"/>
      <w:bookmarkStart w:id="164" w:name="_Toc184308053"/>
      <w:bookmarkEnd w:id="164"/>
      <w:bookmarkStart w:id="165" w:name="_Toc184310306"/>
      <w:bookmarkEnd w:id="165"/>
      <w:bookmarkStart w:id="166" w:name="_Toc184308073"/>
      <w:bookmarkEnd w:id="166"/>
      <w:bookmarkStart w:id="167" w:name="_Toc184313275"/>
      <w:bookmarkEnd w:id="167"/>
      <w:bookmarkStart w:id="168" w:name="_Toc184313270"/>
      <w:bookmarkEnd w:id="168"/>
      <w:bookmarkStart w:id="169" w:name="_Toc184312138"/>
      <w:bookmarkEnd w:id="169"/>
      <w:bookmarkStart w:id="170" w:name="_Toc184313289"/>
      <w:bookmarkEnd w:id="170"/>
      <w:bookmarkStart w:id="171" w:name="_Toc184312067"/>
      <w:bookmarkEnd w:id="171"/>
      <w:bookmarkStart w:id="172" w:name="_Toc184308047"/>
      <w:bookmarkEnd w:id="172"/>
      <w:bookmarkStart w:id="173" w:name="_Toc184312101"/>
      <w:bookmarkEnd w:id="173"/>
      <w:bookmarkStart w:id="174" w:name="_Toc184310295"/>
      <w:bookmarkEnd w:id="174"/>
      <w:bookmarkStart w:id="175" w:name="_Toc184310313"/>
      <w:bookmarkEnd w:id="175"/>
      <w:bookmarkStart w:id="176" w:name="_Toc184313238"/>
      <w:bookmarkEnd w:id="176"/>
      <w:bookmarkStart w:id="177" w:name="_Toc184314412"/>
      <w:bookmarkEnd w:id="177"/>
      <w:bookmarkStart w:id="178" w:name="_Toc184313274"/>
      <w:bookmarkEnd w:id="178"/>
      <w:bookmarkStart w:id="179" w:name="_Toc184308089"/>
      <w:bookmarkEnd w:id="179"/>
      <w:bookmarkStart w:id="180" w:name="_Toc184312083"/>
      <w:bookmarkEnd w:id="180"/>
      <w:bookmarkStart w:id="181" w:name="_Toc184312127"/>
      <w:bookmarkEnd w:id="181"/>
      <w:bookmarkStart w:id="182" w:name="_Toc184308044"/>
      <w:bookmarkEnd w:id="182"/>
      <w:bookmarkStart w:id="183" w:name="_Toc184314473"/>
      <w:bookmarkEnd w:id="183"/>
      <w:bookmarkStart w:id="184" w:name="_Toc184310274"/>
      <w:bookmarkEnd w:id="184"/>
      <w:bookmarkStart w:id="185" w:name="_Toc184313286"/>
      <w:bookmarkEnd w:id="185"/>
      <w:bookmarkStart w:id="186" w:name="_Toc184310299"/>
      <w:bookmarkEnd w:id="186"/>
      <w:bookmarkStart w:id="187" w:name="_Toc184314445"/>
      <w:bookmarkEnd w:id="187"/>
      <w:bookmarkStart w:id="188" w:name="_Toc184314443"/>
      <w:bookmarkEnd w:id="188"/>
      <w:bookmarkStart w:id="189" w:name="_Toc184314470"/>
      <w:bookmarkEnd w:id="189"/>
      <w:bookmarkStart w:id="190" w:name="_Toc184314479"/>
      <w:bookmarkEnd w:id="190"/>
      <w:bookmarkStart w:id="191" w:name="_Toc184312112"/>
      <w:bookmarkEnd w:id="191"/>
      <w:bookmarkStart w:id="192" w:name="_Toc184313267"/>
      <w:bookmarkEnd w:id="192"/>
      <w:bookmarkStart w:id="193" w:name="_Toc184313250"/>
      <w:bookmarkEnd w:id="193"/>
      <w:bookmarkStart w:id="194" w:name="_Toc184312122"/>
      <w:bookmarkEnd w:id="194"/>
      <w:bookmarkStart w:id="195" w:name="_Toc184313294"/>
      <w:bookmarkEnd w:id="195"/>
      <w:bookmarkStart w:id="196" w:name="_Toc184310308"/>
      <w:bookmarkEnd w:id="196"/>
      <w:bookmarkStart w:id="197" w:name="_Toc184308103"/>
      <w:bookmarkEnd w:id="197"/>
      <w:bookmarkStart w:id="198" w:name="_Toc184310333"/>
      <w:bookmarkEnd w:id="198"/>
      <w:bookmarkStart w:id="199" w:name="_Toc184312075"/>
      <w:bookmarkEnd w:id="199"/>
      <w:bookmarkStart w:id="200" w:name="_Toc184308036"/>
      <w:bookmarkEnd w:id="200"/>
      <w:bookmarkStart w:id="201" w:name="_Toc184308060"/>
      <w:bookmarkEnd w:id="201"/>
      <w:bookmarkStart w:id="202" w:name="_Toc184314455"/>
      <w:bookmarkEnd w:id="202"/>
      <w:bookmarkStart w:id="203" w:name="_Toc184312139"/>
      <w:bookmarkEnd w:id="203"/>
      <w:bookmarkStart w:id="204" w:name="_Toc184314466"/>
      <w:bookmarkEnd w:id="204"/>
      <w:bookmarkStart w:id="205" w:name="_Toc184313296"/>
      <w:bookmarkEnd w:id="205"/>
      <w:bookmarkStart w:id="206" w:name="_Toc184313277"/>
      <w:bookmarkEnd w:id="206"/>
      <w:bookmarkStart w:id="207" w:name="_Toc184312104"/>
      <w:bookmarkEnd w:id="207"/>
      <w:bookmarkStart w:id="208" w:name="_Toc184312132"/>
      <w:bookmarkEnd w:id="208"/>
      <w:bookmarkStart w:id="209" w:name="_Toc184314442"/>
      <w:bookmarkEnd w:id="209"/>
      <w:bookmarkStart w:id="210" w:name="_Toc184314421"/>
      <w:bookmarkEnd w:id="210"/>
      <w:bookmarkStart w:id="211" w:name="_Toc184308105"/>
      <w:bookmarkEnd w:id="211"/>
      <w:bookmarkStart w:id="212" w:name="_Toc184308037"/>
      <w:bookmarkEnd w:id="212"/>
      <w:bookmarkStart w:id="213" w:name="_Toc184310288"/>
      <w:bookmarkEnd w:id="213"/>
      <w:bookmarkStart w:id="214" w:name="_Toc184310275"/>
      <w:bookmarkEnd w:id="214"/>
      <w:bookmarkStart w:id="215" w:name="_Toc184313292"/>
      <w:bookmarkEnd w:id="215"/>
      <w:bookmarkStart w:id="216" w:name="_Toc184313287"/>
      <w:bookmarkEnd w:id="216"/>
      <w:bookmarkStart w:id="217" w:name="_Toc184312114"/>
      <w:bookmarkEnd w:id="217"/>
      <w:bookmarkStart w:id="218" w:name="_Toc184312103"/>
      <w:bookmarkEnd w:id="218"/>
      <w:bookmarkStart w:id="219" w:name="_Toc184313259"/>
      <w:bookmarkEnd w:id="219"/>
      <w:bookmarkStart w:id="220" w:name="_Toc184313291"/>
      <w:bookmarkEnd w:id="220"/>
      <w:bookmarkStart w:id="221" w:name="_Toc184314441"/>
      <w:bookmarkEnd w:id="221"/>
      <w:bookmarkStart w:id="222" w:name="_Toc184314460"/>
      <w:bookmarkEnd w:id="222"/>
      <w:bookmarkStart w:id="223" w:name="_Toc184313260"/>
      <w:bookmarkEnd w:id="223"/>
      <w:bookmarkStart w:id="224" w:name="_Toc184312111"/>
      <w:bookmarkEnd w:id="224"/>
      <w:bookmarkStart w:id="225" w:name="_Toc184308076"/>
      <w:bookmarkEnd w:id="225"/>
      <w:bookmarkStart w:id="226" w:name="_Toc184310292"/>
      <w:bookmarkEnd w:id="226"/>
      <w:bookmarkStart w:id="227" w:name="_Toc184313285"/>
      <w:bookmarkEnd w:id="227"/>
      <w:bookmarkStart w:id="228" w:name="_Toc184310312"/>
      <w:bookmarkEnd w:id="228"/>
      <w:bookmarkStart w:id="229" w:name="_Toc184313263"/>
      <w:bookmarkEnd w:id="229"/>
      <w:bookmarkStart w:id="230" w:name="_Toc184314436"/>
      <w:bookmarkEnd w:id="230"/>
      <w:bookmarkStart w:id="231" w:name="_Toc184310323"/>
      <w:bookmarkEnd w:id="231"/>
      <w:bookmarkStart w:id="232" w:name="_Toc184314438"/>
      <w:bookmarkEnd w:id="232"/>
      <w:bookmarkStart w:id="233" w:name="_Toc184314426"/>
      <w:bookmarkEnd w:id="233"/>
      <w:bookmarkStart w:id="234" w:name="_Toc184310327"/>
      <w:bookmarkEnd w:id="234"/>
      <w:bookmarkStart w:id="235" w:name="_Toc184314456"/>
      <w:bookmarkEnd w:id="235"/>
      <w:bookmarkStart w:id="236" w:name="_Toc184314432"/>
      <w:bookmarkEnd w:id="236"/>
      <w:bookmarkStart w:id="237" w:name="_Toc184308106"/>
      <w:bookmarkEnd w:id="237"/>
      <w:bookmarkStart w:id="238" w:name="_Toc184308090"/>
      <w:bookmarkEnd w:id="238"/>
      <w:bookmarkStart w:id="239" w:name="_Toc184314434"/>
      <w:bookmarkEnd w:id="239"/>
      <w:bookmarkStart w:id="240" w:name="_Toc184310303"/>
      <w:bookmarkEnd w:id="240"/>
      <w:bookmarkStart w:id="241" w:name="_Toc184310321"/>
      <w:bookmarkEnd w:id="241"/>
      <w:bookmarkStart w:id="242" w:name="_Toc184312076"/>
      <w:bookmarkEnd w:id="242"/>
      <w:bookmarkStart w:id="243" w:name="_Toc184313301"/>
      <w:bookmarkEnd w:id="243"/>
      <w:bookmarkStart w:id="244" w:name="_Toc184313307"/>
      <w:bookmarkEnd w:id="244"/>
      <w:bookmarkStart w:id="245" w:name="_Toc184310343"/>
      <w:bookmarkEnd w:id="245"/>
      <w:bookmarkStart w:id="246" w:name="_Toc184310326"/>
      <w:bookmarkEnd w:id="246"/>
      <w:bookmarkStart w:id="247" w:name="_Toc184310293"/>
      <w:bookmarkEnd w:id="247"/>
      <w:bookmarkStart w:id="248" w:name="_Toc184313261"/>
      <w:bookmarkEnd w:id="248"/>
      <w:bookmarkStart w:id="249" w:name="_Toc184310317"/>
      <w:bookmarkEnd w:id="249"/>
      <w:bookmarkStart w:id="250" w:name="_Toc184310337"/>
      <w:bookmarkEnd w:id="250"/>
      <w:bookmarkStart w:id="251" w:name="_Toc184312110"/>
      <w:bookmarkEnd w:id="251"/>
      <w:bookmarkStart w:id="252" w:name="_Toc184308101"/>
      <w:bookmarkEnd w:id="252"/>
      <w:bookmarkStart w:id="253" w:name="_Toc184310280"/>
      <w:bookmarkEnd w:id="253"/>
      <w:bookmarkStart w:id="254" w:name="_Toc184312071"/>
      <w:bookmarkEnd w:id="254"/>
      <w:bookmarkStart w:id="255" w:name="_Toc184314429"/>
      <w:bookmarkEnd w:id="255"/>
      <w:bookmarkStart w:id="256" w:name="_Toc184310305"/>
      <w:bookmarkEnd w:id="256"/>
      <w:bookmarkStart w:id="257" w:name="_Toc184312080"/>
      <w:bookmarkEnd w:id="257"/>
      <w:bookmarkStart w:id="258" w:name="_Toc184308094"/>
      <w:bookmarkEnd w:id="258"/>
      <w:bookmarkStart w:id="259" w:name="_Toc184312096"/>
      <w:bookmarkEnd w:id="259"/>
      <w:bookmarkStart w:id="260" w:name="_Toc184313297"/>
      <w:bookmarkEnd w:id="260"/>
      <w:bookmarkStart w:id="261" w:name="_Toc184313245"/>
      <w:bookmarkEnd w:id="261"/>
      <w:bookmarkStart w:id="262" w:name="_Toc184313293"/>
      <w:bookmarkEnd w:id="262"/>
      <w:bookmarkStart w:id="263" w:name="_Toc184308077"/>
      <w:bookmarkEnd w:id="263"/>
      <w:bookmarkStart w:id="264" w:name="_Toc184313254"/>
      <w:bookmarkEnd w:id="264"/>
      <w:bookmarkStart w:id="265" w:name="_Toc184314410"/>
      <w:bookmarkEnd w:id="265"/>
      <w:bookmarkStart w:id="266" w:name="_Toc184308098"/>
      <w:bookmarkEnd w:id="266"/>
      <w:bookmarkStart w:id="267" w:name="_Toc184310336"/>
      <w:bookmarkEnd w:id="267"/>
      <w:bookmarkStart w:id="268" w:name="_Toc184313258"/>
      <w:bookmarkEnd w:id="268"/>
      <w:bookmarkStart w:id="269" w:name="_Toc184308072"/>
      <w:bookmarkEnd w:id="269"/>
      <w:bookmarkStart w:id="270" w:name="_Toc184313302"/>
      <w:bookmarkEnd w:id="270"/>
      <w:bookmarkStart w:id="271" w:name="_Toc184312118"/>
      <w:bookmarkEnd w:id="271"/>
      <w:bookmarkStart w:id="272" w:name="_Toc184310328"/>
      <w:bookmarkEnd w:id="272"/>
      <w:bookmarkStart w:id="273" w:name="_Toc184312130"/>
      <w:bookmarkEnd w:id="273"/>
      <w:bookmarkStart w:id="274" w:name="_Toc184313306"/>
      <w:bookmarkEnd w:id="274"/>
      <w:bookmarkStart w:id="275" w:name="_Toc184312105"/>
      <w:bookmarkEnd w:id="275"/>
      <w:bookmarkStart w:id="276" w:name="_Toc184314452"/>
      <w:bookmarkEnd w:id="276"/>
      <w:bookmarkStart w:id="277" w:name="_Toc184314428"/>
      <w:bookmarkEnd w:id="277"/>
      <w:bookmarkStart w:id="278" w:name="_Toc184313298"/>
      <w:bookmarkEnd w:id="278"/>
      <w:bookmarkStart w:id="279" w:name="_Toc184313272"/>
      <w:bookmarkEnd w:id="279"/>
      <w:bookmarkStart w:id="280" w:name="_Toc184314448"/>
      <w:bookmarkEnd w:id="280"/>
      <w:bookmarkStart w:id="281" w:name="_Toc184312117"/>
      <w:bookmarkEnd w:id="281"/>
      <w:bookmarkStart w:id="282" w:name="_Toc184314468"/>
      <w:bookmarkEnd w:id="282"/>
      <w:bookmarkStart w:id="283" w:name="_Toc184308086"/>
      <w:bookmarkEnd w:id="283"/>
      <w:bookmarkStart w:id="284" w:name="_Toc184314472"/>
      <w:bookmarkEnd w:id="284"/>
      <w:bookmarkStart w:id="285" w:name="_Toc184314413"/>
      <w:bookmarkEnd w:id="285"/>
      <w:bookmarkStart w:id="286" w:name="_Toc184313241"/>
      <w:bookmarkEnd w:id="286"/>
      <w:bookmarkStart w:id="287" w:name="_Toc184310332"/>
      <w:bookmarkEnd w:id="287"/>
      <w:bookmarkStart w:id="288" w:name="_Toc184312109"/>
      <w:bookmarkEnd w:id="288"/>
      <w:bookmarkStart w:id="289" w:name="_Toc184313257"/>
      <w:bookmarkEnd w:id="289"/>
      <w:bookmarkStart w:id="290" w:name="_Toc184312119"/>
      <w:bookmarkEnd w:id="290"/>
      <w:bookmarkStart w:id="291" w:name="_Toc184312081"/>
      <w:bookmarkEnd w:id="291"/>
      <w:bookmarkStart w:id="292" w:name="_Toc184310335"/>
      <w:bookmarkEnd w:id="292"/>
      <w:bookmarkStart w:id="293" w:name="_Toc184308093"/>
      <w:bookmarkEnd w:id="293"/>
      <w:bookmarkStart w:id="294" w:name="_Toc184312077"/>
      <w:bookmarkEnd w:id="294"/>
      <w:bookmarkStart w:id="295" w:name="_Toc184308104"/>
      <w:bookmarkEnd w:id="295"/>
      <w:bookmarkStart w:id="296" w:name="_Toc184314476"/>
      <w:bookmarkEnd w:id="296"/>
      <w:bookmarkStart w:id="297" w:name="_Toc184313300"/>
      <w:bookmarkEnd w:id="297"/>
      <w:bookmarkStart w:id="298" w:name="_Toc184314469"/>
      <w:bookmarkEnd w:id="298"/>
      <w:bookmarkStart w:id="299" w:name="_Toc184312113"/>
      <w:bookmarkEnd w:id="299"/>
      <w:bookmarkStart w:id="300" w:name="_Toc184310298"/>
      <w:bookmarkEnd w:id="300"/>
      <w:bookmarkStart w:id="301" w:name="_Toc184313246"/>
      <w:bookmarkEnd w:id="301"/>
      <w:bookmarkStart w:id="302" w:name="_Toc184313248"/>
      <w:bookmarkEnd w:id="302"/>
      <w:bookmarkStart w:id="303" w:name="_Toc184310329"/>
      <w:bookmarkEnd w:id="303"/>
      <w:bookmarkStart w:id="304" w:name="_Toc184313280"/>
      <w:bookmarkEnd w:id="304"/>
      <w:bookmarkStart w:id="305" w:name="_Toc184312137"/>
      <w:bookmarkEnd w:id="305"/>
      <w:bookmarkStart w:id="306" w:name="_Toc184310307"/>
      <w:bookmarkEnd w:id="306"/>
      <w:bookmarkStart w:id="307" w:name="_Toc184310310"/>
      <w:bookmarkEnd w:id="307"/>
      <w:bookmarkStart w:id="308" w:name="_Toc184313282"/>
      <w:bookmarkEnd w:id="308"/>
      <w:bookmarkStart w:id="309" w:name="_Toc184310319"/>
      <w:bookmarkEnd w:id="309"/>
      <w:bookmarkStart w:id="310" w:name="_Toc184310322"/>
      <w:bookmarkEnd w:id="310"/>
      <w:bookmarkStart w:id="311" w:name="_Toc184310330"/>
      <w:bookmarkEnd w:id="311"/>
      <w:bookmarkStart w:id="312" w:name="_Toc184312136"/>
      <w:bookmarkEnd w:id="312"/>
      <w:bookmarkStart w:id="313" w:name="_Toc184314423"/>
      <w:bookmarkEnd w:id="313"/>
      <w:bookmarkStart w:id="314" w:name="_Toc184312078"/>
      <w:bookmarkEnd w:id="314"/>
      <w:bookmarkStart w:id="315" w:name="_Toc184312100"/>
      <w:bookmarkEnd w:id="315"/>
      <w:bookmarkStart w:id="316" w:name="_Toc184312095"/>
      <w:bookmarkEnd w:id="316"/>
      <w:bookmarkStart w:id="317" w:name="_Toc184314465"/>
      <w:bookmarkEnd w:id="317"/>
      <w:bookmarkStart w:id="318" w:name="_Toc184312094"/>
      <w:bookmarkEnd w:id="318"/>
      <w:bookmarkStart w:id="319" w:name="_Toc184314435"/>
      <w:bookmarkEnd w:id="319"/>
      <w:bookmarkStart w:id="320" w:name="_Toc184308075"/>
      <w:bookmarkEnd w:id="320"/>
      <w:bookmarkStart w:id="321" w:name="_Toc184310301"/>
      <w:bookmarkEnd w:id="321"/>
      <w:bookmarkStart w:id="322" w:name="_Toc184314458"/>
      <w:bookmarkEnd w:id="322"/>
      <w:bookmarkStart w:id="323" w:name="_Toc184314422"/>
      <w:bookmarkEnd w:id="323"/>
      <w:bookmarkStart w:id="324" w:name="_Toc184313276"/>
      <w:bookmarkEnd w:id="324"/>
      <w:bookmarkStart w:id="325" w:name="_Toc184310314"/>
      <w:bookmarkEnd w:id="325"/>
      <w:bookmarkStart w:id="326" w:name="_Toc184314447"/>
      <w:bookmarkEnd w:id="326"/>
      <w:bookmarkStart w:id="327" w:name="_Toc184308065"/>
      <w:bookmarkEnd w:id="327"/>
      <w:bookmarkStart w:id="328" w:name="_Toc184308063"/>
      <w:bookmarkEnd w:id="328"/>
      <w:bookmarkStart w:id="329" w:name="_Toc184310300"/>
      <w:bookmarkEnd w:id="329"/>
      <w:bookmarkStart w:id="330" w:name="_Toc184308102"/>
      <w:bookmarkEnd w:id="330"/>
      <w:bookmarkStart w:id="331" w:name="_Toc184310286"/>
      <w:bookmarkEnd w:id="331"/>
      <w:bookmarkStart w:id="332" w:name="_Toc184310294"/>
      <w:bookmarkEnd w:id="332"/>
      <w:bookmarkStart w:id="333" w:name="_Toc184310277"/>
      <w:bookmarkEnd w:id="333"/>
      <w:bookmarkStart w:id="334" w:name="_Toc184308048"/>
      <w:bookmarkEnd w:id="334"/>
      <w:bookmarkStart w:id="335" w:name="_Toc184313278"/>
      <w:bookmarkEnd w:id="335"/>
      <w:bookmarkStart w:id="336" w:name="_Toc184314418"/>
      <w:bookmarkEnd w:id="336"/>
      <w:bookmarkStart w:id="337" w:name="_Toc184313295"/>
      <w:bookmarkEnd w:id="337"/>
      <w:bookmarkStart w:id="338" w:name="_Toc184313255"/>
      <w:bookmarkEnd w:id="338"/>
      <w:bookmarkStart w:id="339" w:name="_Toc184308058"/>
      <w:bookmarkEnd w:id="339"/>
      <w:bookmarkStart w:id="340" w:name="_Toc184312131"/>
      <w:bookmarkEnd w:id="340"/>
      <w:bookmarkStart w:id="341" w:name="_Toc184312108"/>
      <w:bookmarkEnd w:id="341"/>
      <w:bookmarkStart w:id="342" w:name="_Toc184314425"/>
      <w:bookmarkEnd w:id="342"/>
      <w:bookmarkStart w:id="343" w:name="_Toc184312086"/>
      <w:bookmarkEnd w:id="343"/>
      <w:bookmarkStart w:id="344" w:name="_Toc184308092"/>
      <w:bookmarkEnd w:id="344"/>
      <w:bookmarkStart w:id="345" w:name="_Toc184310283"/>
      <w:bookmarkEnd w:id="345"/>
      <w:bookmarkStart w:id="346" w:name="_Toc184310340"/>
      <w:bookmarkEnd w:id="346"/>
      <w:bookmarkStart w:id="347" w:name="_Toc184310287"/>
      <w:bookmarkEnd w:id="347"/>
      <w:bookmarkStart w:id="348" w:name="_Toc184310297"/>
      <w:bookmarkEnd w:id="348"/>
      <w:bookmarkStart w:id="349" w:name="_Toc184308087"/>
      <w:bookmarkEnd w:id="349"/>
      <w:bookmarkStart w:id="350" w:name="_Toc184313304"/>
      <w:bookmarkEnd w:id="350"/>
      <w:bookmarkStart w:id="351" w:name="_Toc184312073"/>
      <w:bookmarkEnd w:id="351"/>
      <w:bookmarkStart w:id="352" w:name="_Toc184314433"/>
      <w:bookmarkEnd w:id="352"/>
      <w:bookmarkStart w:id="353" w:name="_Toc184310273"/>
      <w:bookmarkEnd w:id="353"/>
      <w:bookmarkStart w:id="354" w:name="_Toc184314475"/>
      <w:bookmarkEnd w:id="354"/>
      <w:bookmarkStart w:id="355" w:name="_Toc184308099"/>
      <w:bookmarkEnd w:id="355"/>
      <w:bookmarkStart w:id="356" w:name="_Toc184313242"/>
      <w:bookmarkEnd w:id="356"/>
      <w:bookmarkStart w:id="357" w:name="_Toc184310304"/>
      <w:bookmarkEnd w:id="357"/>
      <w:bookmarkStart w:id="358" w:name="_Toc184308062"/>
      <w:bookmarkEnd w:id="358"/>
      <w:bookmarkStart w:id="359" w:name="_Toc184310272"/>
      <w:bookmarkEnd w:id="359"/>
      <w:bookmarkStart w:id="360" w:name="_Toc184313281"/>
      <w:bookmarkEnd w:id="360"/>
      <w:bookmarkStart w:id="361" w:name="_Toc184312098"/>
      <w:bookmarkEnd w:id="361"/>
      <w:bookmarkStart w:id="362" w:name="_Toc184308080"/>
      <w:bookmarkEnd w:id="362"/>
      <w:bookmarkStart w:id="363" w:name="_Toc184314437"/>
      <w:bookmarkEnd w:id="363"/>
      <w:bookmarkStart w:id="364" w:name="_Toc184312134"/>
      <w:bookmarkEnd w:id="364"/>
      <w:bookmarkStart w:id="365" w:name="_Toc184314440"/>
      <w:bookmarkEnd w:id="365"/>
      <w:bookmarkStart w:id="366" w:name="_Toc184314446"/>
      <w:bookmarkEnd w:id="366"/>
      <w:bookmarkStart w:id="367" w:name="_Toc184312125"/>
      <w:bookmarkEnd w:id="367"/>
      <w:bookmarkStart w:id="368" w:name="_Toc184312124"/>
      <w:bookmarkEnd w:id="368"/>
      <w:bookmarkStart w:id="369" w:name="_Toc184312072"/>
      <w:bookmarkEnd w:id="369"/>
      <w:bookmarkStart w:id="370" w:name="_Toc184308071"/>
      <w:bookmarkEnd w:id="370"/>
      <w:bookmarkStart w:id="371" w:name="_Toc184308067"/>
      <w:bookmarkEnd w:id="371"/>
      <w:bookmarkStart w:id="372" w:name="_Toc184312123"/>
      <w:bookmarkEnd w:id="372"/>
      <w:bookmarkStart w:id="373" w:name="_Toc184308051"/>
      <w:bookmarkEnd w:id="373"/>
      <w:bookmarkStart w:id="374" w:name="_Toc184310290"/>
      <w:bookmarkEnd w:id="374"/>
      <w:bookmarkStart w:id="375" w:name="_Toc184310278"/>
      <w:bookmarkEnd w:id="375"/>
      <w:bookmarkStart w:id="376" w:name="_Toc184312069"/>
      <w:bookmarkEnd w:id="376"/>
      <w:bookmarkStart w:id="377" w:name="_Toc184312102"/>
      <w:bookmarkEnd w:id="377"/>
      <w:bookmarkStart w:id="378" w:name="_Toc184310302"/>
      <w:bookmarkEnd w:id="378"/>
      <w:bookmarkStart w:id="379" w:name="_Toc184314431"/>
      <w:bookmarkEnd w:id="379"/>
      <w:bookmarkStart w:id="380" w:name="_Toc184314481"/>
      <w:bookmarkEnd w:id="380"/>
      <w:bookmarkStart w:id="381" w:name="_Toc184312089"/>
      <w:bookmarkEnd w:id="381"/>
      <w:bookmarkStart w:id="382" w:name="_Toc184312070"/>
      <w:bookmarkEnd w:id="382"/>
      <w:bookmarkStart w:id="383" w:name="_Toc184308049"/>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hint="default" w:ascii="宋体" w:hAnsi="宋体" w:eastAsia="宋体" w:cs="宋体"/>
          <w:lang w:val="en-US"/>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2024年临江公司消防泡沫液采购</w:t>
      </w:r>
      <w:r>
        <w:rPr>
          <w:rFonts w:hint="eastAsia" w:ascii="宋体" w:hAnsi="宋体" w:cs="宋体"/>
          <w:sz w:val="24"/>
          <w:u w:val="single"/>
          <w:lang w:val="en-US" w:eastAsia="zh-CN"/>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22"/>
        <w:ind w:left="0" w:leftChars="0" w:firstLine="0" w:firstLineChars="0"/>
        <w:jc w:val="center"/>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2024年临江公司消防泡沫液采购</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4059"/>
      <w:bookmarkStart w:id="385" w:name="_Toc3029"/>
      <w:bookmarkStart w:id="386" w:name="_Toc2232"/>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1295"/>
      <w:bookmarkStart w:id="388" w:name="_Toc27126"/>
      <w:bookmarkStart w:id="389" w:name="_Toc24300"/>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4"/>
        <w:tblW w:w="895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
        <w:gridCol w:w="1116"/>
        <w:gridCol w:w="1134"/>
        <w:gridCol w:w="3608"/>
        <w:gridCol w:w="552"/>
        <w:gridCol w:w="540"/>
        <w:gridCol w:w="756"/>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trPr>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货物名称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品牌/生产厂家</w:t>
            </w:r>
          </w:p>
        </w:tc>
        <w:tc>
          <w:tcPr>
            <w:tcW w:w="3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规格型号</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单位</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数量</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单价</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trPr>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消防泡沫液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1"/>
                <w:szCs w:val="21"/>
                <w:u w:val="none"/>
              </w:rPr>
            </w:pPr>
          </w:p>
        </w:tc>
        <w:tc>
          <w:tcPr>
            <w:tcW w:w="3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jc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snapToGrid/>
                <w:color w:val="auto"/>
                <w:kern w:val="0"/>
                <w:sz w:val="21"/>
                <w:szCs w:val="21"/>
                <w:u w:val="none"/>
                <w:lang w:val="en-US" w:eastAsia="zh-CN" w:bidi="ar"/>
              </w:rPr>
              <w:t>AFFF/AR-6%，满足GB15308-2006《泡沫灭火剂》标准</w:t>
            </w:r>
            <w:r>
              <w:rPr>
                <w:rFonts w:hint="eastAsia" w:hAnsi="宋体" w:eastAsia="宋体" w:cs="宋体"/>
                <w:i w:val="0"/>
                <w:iCs w:val="0"/>
                <w:snapToGrid/>
                <w:color w:val="auto"/>
                <w:kern w:val="0"/>
                <w:sz w:val="21"/>
                <w:szCs w:val="21"/>
                <w:u w:val="none"/>
                <w:lang w:val="en-US" w:eastAsia="zh-CN" w:bidi="ar"/>
              </w:rPr>
              <w:t>，</w:t>
            </w:r>
            <w:r>
              <w:rPr>
                <w:rFonts w:hint="eastAsia" w:ascii="宋体" w:hAnsi="宋体" w:eastAsia="宋体" w:cs="宋体"/>
                <w:i w:val="0"/>
                <w:iCs w:val="0"/>
                <w:snapToGrid/>
                <w:color w:val="auto"/>
                <w:kern w:val="0"/>
                <w:sz w:val="21"/>
                <w:szCs w:val="21"/>
                <w:u w:val="none"/>
                <w:lang w:val="en-US" w:eastAsia="zh-CN" w:bidi="ar"/>
              </w:rPr>
              <w:t>凝固点-10℃</w:t>
            </w:r>
            <w:r>
              <w:rPr>
                <w:rFonts w:hint="eastAsia" w:hAnsi="宋体" w:eastAsia="宋体" w:cs="宋体"/>
                <w:i w:val="0"/>
                <w:iCs w:val="0"/>
                <w:snapToGrid/>
                <w:color w:val="auto"/>
                <w:kern w:val="0"/>
                <w:sz w:val="21"/>
                <w:szCs w:val="21"/>
                <w:u w:val="none"/>
                <w:lang w:val="en-US" w:eastAsia="zh-CN" w:bidi="ar"/>
              </w:rPr>
              <w:t>。</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个</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10 </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w:t>
      </w:r>
      <w:r>
        <w:rPr>
          <w:rFonts w:hint="eastAsia" w:ascii="宋体" w:hAnsi="宋体" w:cs="宋体"/>
          <w:sz w:val="24"/>
          <w:lang w:val="en-US" w:eastAsia="zh-CN"/>
        </w:rPr>
        <w:t>充装费用</w:t>
      </w:r>
      <w:r>
        <w:rPr>
          <w:rFonts w:hint="eastAsia" w:ascii="宋体" w:hAnsi="宋体" w:cs="宋体"/>
          <w:sz w:val="24"/>
        </w:rPr>
        <w:t>、售后服务费及税费等全部费用。除非甲方有额外采购需求且经甲方书面同意，否则，本合同下总价不予调整。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w:t>
      </w:r>
      <w:r>
        <w:rPr>
          <w:rFonts w:hint="eastAsia"/>
          <w:bCs/>
          <w:lang w:val="en-US" w:eastAsia="zh-CN"/>
        </w:rPr>
        <w:t>充装</w:t>
      </w:r>
      <w:r>
        <w:rPr>
          <w:rFonts w:hint="eastAsia"/>
          <w:bCs/>
        </w:rPr>
        <w:t>。若需要乙方提供</w:t>
      </w:r>
      <w:r>
        <w:rPr>
          <w:rFonts w:hint="eastAsia"/>
          <w:bCs/>
          <w:lang w:val="en-US" w:eastAsia="zh-CN"/>
        </w:rPr>
        <w:t>充装</w:t>
      </w:r>
      <w:r>
        <w:rPr>
          <w:rFonts w:hint="eastAsia"/>
          <w:bCs/>
        </w:rPr>
        <w:t>的，则涉及</w:t>
      </w:r>
      <w:r>
        <w:rPr>
          <w:rFonts w:hint="eastAsia"/>
          <w:bCs/>
          <w:lang w:val="en-US" w:eastAsia="zh-CN"/>
        </w:rPr>
        <w:t>旧液回收</w:t>
      </w:r>
      <w:r>
        <w:rPr>
          <w:rFonts w:hint="eastAsia"/>
          <w:bCs/>
        </w:rPr>
        <w:t>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w:t>
      </w:r>
    </w:p>
    <w:p>
      <w:pPr>
        <w:pStyle w:val="23"/>
        <w:spacing w:before="0" w:beforeAutospacing="0" w:after="0" w:afterAutospacing="0" w:line="360" w:lineRule="auto"/>
        <w:ind w:firstLine="480"/>
        <w:rPr>
          <w:b/>
        </w:rPr>
      </w:pPr>
      <w:bookmarkStart w:id="390" w:name="_Toc22618"/>
      <w:bookmarkStart w:id="391" w:name="_Toc1814"/>
      <w:bookmarkStart w:id="392" w:name="_Toc10340"/>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w:t>
      </w:r>
      <w:r>
        <w:rPr>
          <w:rFonts w:hint="eastAsia" w:ascii="宋体" w:hAnsi="宋体" w:cs="宋体"/>
          <w:sz w:val="24"/>
          <w:u w:val="single"/>
          <w:lang w:eastAsia="zh-CN"/>
        </w:rPr>
        <w:t>一次性供货、</w:t>
      </w:r>
      <w:r>
        <w:rPr>
          <w:rFonts w:hint="eastAsia" w:ascii="宋体" w:hAnsi="宋体" w:cs="宋体"/>
          <w:sz w:val="24"/>
          <w:u w:val="single"/>
          <w:lang w:val="en-US" w:eastAsia="zh-CN"/>
        </w:rPr>
        <w:t>充装</w:t>
      </w:r>
      <w:r>
        <w:rPr>
          <w:rFonts w:hint="eastAsia" w:ascii="宋体" w:hAnsi="宋体" w:cs="宋体"/>
          <w:sz w:val="24"/>
          <w:u w:val="single"/>
          <w:lang w:eastAsia="zh-CN"/>
        </w:rPr>
        <w:t>结束后合同自动终止</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lang w:val="en-US" w:eastAsia="zh-CN"/>
        </w:rPr>
        <w:t>采购订单下达后30日内到货并完成充装</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6"/>
        <w:ind w:firstLine="480" w:firstLineChars="200"/>
        <w:rPr>
          <w:rFonts w:hint="eastAsia" w:ascii="宋体"/>
          <w:lang w:val="en-US" w:eastAsia="zh-CN"/>
        </w:rPr>
      </w:pPr>
      <w:bookmarkStart w:id="393" w:name="_Toc1125"/>
      <w:bookmarkStart w:id="394" w:name="_Toc6596"/>
      <w:bookmarkStart w:id="395" w:name="_Toc14563"/>
      <w:r>
        <w:rPr>
          <w:rFonts w:hint="eastAsia" w:ascii="宋体"/>
          <w:lang w:val="en-US" w:eastAsia="zh-CN"/>
        </w:rPr>
        <w:t>1.</w:t>
      </w:r>
      <w:r>
        <w:rPr>
          <w:rFonts w:hint="eastAsia"/>
        </w:rPr>
        <w:t xml:space="preserve">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default" w:ascii="宋体" w:hAnsi="宋体" w:cs="宋体"/>
          <w:b/>
          <w:sz w:val="24"/>
          <w:lang w:val="en-US"/>
        </w:rPr>
      </w:pPr>
      <w:r>
        <w:rPr>
          <w:rFonts w:hint="eastAsia" w:ascii="宋体" w:hAnsi="Arial" w:cs="Arial"/>
          <w:snapToGrid w:val="0"/>
          <w:color w:val="auto"/>
          <w:kern w:val="2"/>
          <w:sz w:val="24"/>
          <w:szCs w:val="21"/>
          <w:lang w:val="en-US" w:eastAsia="zh-CN" w:bidi="ar-SA"/>
        </w:rPr>
        <w:t>2.有效期不少2年。</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rFonts w:hint="eastAsia"/>
          <w:lang w:val="en-US"/>
        </w:rPr>
      </w:pPr>
      <w:r>
        <w:rPr>
          <w:rFonts w:hint="eastAsia"/>
          <w:lang w:val="en-US"/>
        </w:rPr>
        <w:t>1.</w:t>
      </w:r>
      <w:r>
        <w:rPr>
          <w:rFonts w:hint="eastAsia"/>
          <w:lang w:val="en-US" w:eastAsia="zh-CN"/>
        </w:rPr>
        <w:t xml:space="preserve"> 7吨需要旧液回收运走，新液充装；2吨装入消防车内；1吨为50KG塑料桶装备用，塑料桶不回收。</w:t>
      </w:r>
    </w:p>
    <w:p>
      <w:pPr>
        <w:pStyle w:val="6"/>
        <w:ind w:firstLine="480" w:firstLineChars="200"/>
        <w:rPr>
          <w:rFonts w:hint="eastAsia"/>
          <w:lang w:val="en-US"/>
        </w:rPr>
      </w:pPr>
      <w:r>
        <w:rPr>
          <w:rFonts w:hint="eastAsia"/>
          <w:lang w:val="en-US"/>
        </w:rPr>
        <w:t>2.根据</w:t>
      </w:r>
      <w:r>
        <w:rPr>
          <w:rFonts w:hint="eastAsia"/>
          <w:lang w:val="en-US" w:eastAsia="zh-CN"/>
        </w:rPr>
        <w:t>甲方</w:t>
      </w:r>
      <w:r>
        <w:rPr>
          <w:rFonts w:hint="eastAsia"/>
          <w:lang w:val="en-US"/>
        </w:rPr>
        <w:t>计划，一次性供货</w:t>
      </w:r>
      <w:r>
        <w:rPr>
          <w:rFonts w:hint="eastAsia"/>
          <w:lang w:val="en-US" w:eastAsia="zh-CN"/>
        </w:rPr>
        <w:t>、充装</w:t>
      </w:r>
      <w:r>
        <w:rPr>
          <w:rFonts w:hint="eastAsia"/>
          <w:lang w:val="en-US"/>
        </w:rPr>
        <w:t>，</w:t>
      </w:r>
      <w:r>
        <w:rPr>
          <w:rFonts w:hint="eastAsia"/>
          <w:lang w:val="en-US" w:eastAsia="zh-CN"/>
        </w:rPr>
        <w:t>乙方</w:t>
      </w:r>
      <w:r>
        <w:rPr>
          <w:rFonts w:hint="eastAsia"/>
          <w:lang w:val="en-US"/>
        </w:rPr>
        <w:t>负责在接到</w:t>
      </w:r>
      <w:r>
        <w:rPr>
          <w:rFonts w:hint="eastAsia"/>
          <w:lang w:val="en-US" w:eastAsia="zh-CN"/>
        </w:rPr>
        <w:t>甲方</w:t>
      </w:r>
      <w:r>
        <w:rPr>
          <w:rFonts w:hint="eastAsia"/>
          <w:lang w:val="en-US"/>
        </w:rPr>
        <w:t>电话或书面通知后在30日内完成供货并安排</w:t>
      </w:r>
      <w:r>
        <w:rPr>
          <w:rFonts w:hint="eastAsia"/>
          <w:lang w:val="en-US" w:eastAsia="zh-CN"/>
        </w:rPr>
        <w:t>充装</w:t>
      </w:r>
      <w:r>
        <w:rPr>
          <w:rFonts w:hint="eastAsia"/>
          <w:lang w:val="en-US"/>
        </w:rPr>
        <w:t>。</w:t>
      </w:r>
      <w:r>
        <w:rPr>
          <w:rFonts w:hint="eastAsia"/>
          <w:lang w:val="en-US" w:eastAsia="zh-CN"/>
        </w:rPr>
        <w:t>乙方</w:t>
      </w:r>
      <w:r>
        <w:rPr>
          <w:rFonts w:hint="eastAsia"/>
          <w:lang w:val="en-US"/>
        </w:rPr>
        <w:t>负责卸货，人工费由</w:t>
      </w:r>
      <w:r>
        <w:rPr>
          <w:rFonts w:hint="eastAsia"/>
          <w:lang w:val="en-US" w:eastAsia="zh-CN"/>
        </w:rPr>
        <w:t>乙方</w:t>
      </w:r>
      <w:r>
        <w:rPr>
          <w:rFonts w:hint="eastAsia"/>
          <w:lang w:val="en-US"/>
        </w:rPr>
        <w:t>承担，</w:t>
      </w:r>
      <w:r>
        <w:rPr>
          <w:rFonts w:hint="eastAsia"/>
          <w:lang w:val="en-US" w:eastAsia="zh-CN"/>
        </w:rPr>
        <w:t>甲方</w:t>
      </w:r>
      <w:r>
        <w:rPr>
          <w:rFonts w:hint="eastAsia"/>
          <w:lang w:val="en-US"/>
        </w:rPr>
        <w:t>可免费提供叉车服务。</w:t>
      </w:r>
    </w:p>
    <w:p>
      <w:pPr>
        <w:pStyle w:val="6"/>
        <w:ind w:firstLine="480" w:firstLineChars="200"/>
        <w:rPr>
          <w:lang w:val="en-US"/>
        </w:rPr>
      </w:pPr>
      <w:r>
        <w:rPr>
          <w:rFonts w:hint="eastAsia"/>
          <w:lang w:val="en-US" w:eastAsia="zh-CN"/>
        </w:rPr>
        <w:t>3</w:t>
      </w:r>
      <w:r>
        <w:rPr>
          <w:rFonts w:hint="eastAsia"/>
          <w:lang w:val="en-US"/>
        </w:rPr>
        <w:t>.乙方必须满足甲方售后服务要求。如使用过程发生问题，乙方须在接到甲方通知后必须4小时内赶到现场进行处理，</w:t>
      </w:r>
      <w:r>
        <w:rPr>
          <w:rFonts w:hint="eastAsia"/>
          <w:lang w:val="en-US" w:eastAsia="zh-CN"/>
        </w:rPr>
        <w:t>24</w:t>
      </w:r>
      <w:r>
        <w:rPr>
          <w:rFonts w:hint="eastAsia"/>
          <w:lang w:val="en-US"/>
        </w:rPr>
        <w:t>小时内做出书面答复并提供解决方案。若需要派遣技术人员，则应在接到甲方通知后,</w:t>
      </w:r>
      <w:r>
        <w:rPr>
          <w:rFonts w:hint="eastAsia"/>
          <w:lang w:val="en-US" w:eastAsia="zh-CN"/>
        </w:rPr>
        <w:t>48</w:t>
      </w:r>
      <w:r>
        <w:rPr>
          <w:rFonts w:hint="eastAsia"/>
          <w:lang w:val="en-US"/>
        </w:rPr>
        <w:t>小时内派人员到达现场进行免费指导解决问题。</w:t>
      </w:r>
    </w:p>
    <w:p>
      <w:pPr>
        <w:pStyle w:val="6"/>
        <w:ind w:firstLine="480" w:firstLineChars="200"/>
        <w:rPr>
          <w:lang w:val="en-US"/>
        </w:rPr>
      </w:pPr>
      <w:r>
        <w:rPr>
          <w:rFonts w:hint="eastAsia"/>
          <w:lang w:val="en-US" w:eastAsia="zh-CN"/>
        </w:rPr>
        <w:t>4</w:t>
      </w:r>
      <w:r>
        <w:rPr>
          <w:rFonts w:hint="eastAsia"/>
          <w:lang w:val="en-US"/>
        </w:rPr>
        <w:t>.甲方不再对任何售后服务进行付费。乙方的派遣人员产生的一切费用由供应商承担。</w:t>
      </w:r>
    </w:p>
    <w:p>
      <w:pPr>
        <w:pStyle w:val="6"/>
        <w:ind w:firstLine="480" w:firstLineChars="200"/>
      </w:pPr>
      <w:r>
        <w:rPr>
          <w:rFonts w:hint="eastAsia"/>
          <w:u w:val="single"/>
          <w:lang w:val="en-US" w:eastAsia="zh-CN"/>
        </w:rPr>
        <w:t>5</w:t>
      </w:r>
      <w:r>
        <w:rPr>
          <w:rFonts w:hint="eastAsia"/>
          <w:u w:val="single"/>
          <w:lang w:val="en-US"/>
        </w:rPr>
        <w:t>.在</w:t>
      </w:r>
      <w:r>
        <w:rPr>
          <w:rFonts w:hint="eastAsia"/>
          <w:u w:val="single"/>
          <w:lang w:val="en-US" w:eastAsia="zh-CN"/>
        </w:rPr>
        <w:t>设备</w:t>
      </w:r>
      <w:r>
        <w:rPr>
          <w:rFonts w:hint="eastAsia"/>
          <w:u w:val="single"/>
          <w:lang w:val="en-US"/>
        </w:rPr>
        <w:t>使用过程中，造成甲方机械设备故障或货物损坏，由乙方承担</w:t>
      </w:r>
      <w:r>
        <w:rPr>
          <w:rFonts w:hint="eastAsia"/>
          <w:u w:val="single"/>
          <w:lang w:val="en-US" w:eastAsia="zh-CN"/>
        </w:rPr>
        <w:t>甲方</w:t>
      </w:r>
      <w:r>
        <w:rPr>
          <w:rFonts w:hint="eastAsia"/>
          <w:u w:val="single"/>
          <w:lang w:val="en-US"/>
        </w:rPr>
        <w:t>的一切损失，包括直接和间接损失。</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rFonts w:hint="eastAsia" w:ascii="宋体" w:hAnsi="宋体" w:eastAsia="宋体" w:cs="宋体"/>
          <w:sz w:val="24"/>
          <w:u w:val="single"/>
          <w:lang w:val="en-US" w:eastAsia="zh-CN"/>
        </w:rPr>
      </w:pPr>
      <w:r>
        <w:rPr>
          <w:rFonts w:ascii="宋体" w:hAnsi="宋体" w:eastAsia="宋体" w:cs="宋体"/>
          <w:sz w:val="24"/>
        </w:rPr>
        <w:t>1.</w:t>
      </w:r>
      <w:r>
        <w:rPr>
          <w:rFonts w:hint="eastAsia" w:hAnsi="宋体" w:eastAsia="宋体" w:cs="宋体"/>
          <w:sz w:val="24"/>
          <w:u w:val="single"/>
          <w:lang w:val="en-US" w:eastAsia="zh-CN"/>
        </w:rPr>
        <w:t>提供生产厂家出厂检测报告。</w:t>
      </w:r>
      <w:r>
        <w:rPr>
          <w:rFonts w:hint="eastAsia" w:ascii="宋体" w:hAnsi="宋体" w:eastAsia="宋体" w:cs="宋体"/>
          <w:sz w:val="24"/>
          <w:u w:val="single"/>
          <w:lang w:val="en-US" w:eastAsia="zh-CN"/>
        </w:rPr>
        <w:t xml:space="preserve"> </w:t>
      </w:r>
    </w:p>
    <w:p>
      <w:pPr>
        <w:pStyle w:val="7"/>
        <w:rPr>
          <w:u w:val="single"/>
          <w:lang w:val="en-US"/>
        </w:rPr>
      </w:pPr>
      <w:r>
        <w:rPr>
          <w:rFonts w:hint="eastAsia" w:hAnsi="宋体" w:eastAsia="宋体" w:cs="宋体"/>
          <w:sz w:val="24"/>
          <w:u w:val="single"/>
          <w:lang w:val="en-US" w:eastAsia="zh-CN"/>
        </w:rPr>
        <w:t>2.</w:t>
      </w:r>
      <w:r>
        <w:rPr>
          <w:rFonts w:hint="eastAsia" w:ascii="宋体" w:hAnsi="宋体" w:eastAsia="宋体" w:cs="宋体"/>
          <w:sz w:val="24"/>
          <w:u w:val="single"/>
          <w:lang w:val="en-US" w:eastAsia="zh-CN"/>
        </w:rPr>
        <w:t xml:space="preserve">数量以甲方过磅净重为结算依据，若甲方过磅净重小于乙方提供的送货数量，以甲方过磅净重为准；若甲方过磅净重大于等于乙方提供的送货数量，以乙方的送货数量为准。   </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w:t>
      </w:r>
      <w:r>
        <w:rPr>
          <w:rFonts w:hint="eastAsia" w:ascii="宋体" w:hAnsi="宋体" w:cs="宋体"/>
          <w:kern w:val="0"/>
          <w:sz w:val="24"/>
          <w:lang w:val="en-US" w:eastAsia="zh-CN"/>
        </w:rPr>
        <w:t>无息</w:t>
      </w:r>
      <w:r>
        <w:rPr>
          <w:rFonts w:hint="eastAsia" w:ascii="宋体" w:hAnsi="宋体" w:cs="宋体"/>
          <w:kern w:val="0"/>
          <w:sz w:val="24"/>
        </w:rPr>
        <w:t>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6" w:name="_Toc19304"/>
      <w:bookmarkStart w:id="397" w:name="_Toc32071"/>
      <w:bookmarkStart w:id="398" w:name="_Toc2846"/>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w:t>
      </w:r>
      <w:r>
        <w:rPr>
          <w:rFonts w:hint="eastAsia"/>
          <w:b/>
          <w:bCs/>
          <w:i/>
          <w:iCs/>
          <w:u w:val="single"/>
          <w:lang w:val="en-US" w:eastAsia="zh-CN"/>
        </w:rPr>
        <w:t xml:space="preserve"> </w:t>
      </w:r>
      <w:r>
        <w:rPr>
          <w:rFonts w:hint="eastAsia"/>
        </w:rPr>
        <w:t>%</w:t>
      </w:r>
      <w:r>
        <w:rPr>
          <w:rFonts w:hint="eastAsia"/>
          <w:lang w:eastAsia="zh-CN"/>
        </w:rPr>
        <w:t>，</w:t>
      </w:r>
      <w:r>
        <w:rPr>
          <w:rFonts w:hint="eastAsia"/>
          <w:lang w:val="en-US" w:eastAsia="zh-CN"/>
        </w:rPr>
        <w:t xml:space="preserve">金额为 </w:t>
      </w:r>
      <w:r>
        <w:rPr>
          <w:rFonts w:hint="eastAsia"/>
          <w:u w:val="single"/>
          <w:lang w:val="en-US" w:eastAsia="zh-CN"/>
        </w:rPr>
        <w:t xml:space="preserve"> /  </w:t>
      </w:r>
      <w:r>
        <w:rPr>
          <w:rFonts w:hint="eastAsia"/>
          <w:lang w:val="en-US" w:eastAsia="zh-CN"/>
        </w:rPr>
        <w:t>元</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3</w:t>
      </w:r>
      <w:r>
        <w:rPr>
          <w:rFonts w:hint="eastAsia"/>
          <w:u w:val="single"/>
        </w:rPr>
        <w:t>）</w:t>
      </w:r>
      <w:r>
        <w:rPr>
          <w:rFonts w:hint="eastAsia"/>
        </w:rPr>
        <w:t>条款规定：</w:t>
      </w:r>
    </w:p>
    <w:p>
      <w:pPr>
        <w:pStyle w:val="23"/>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（3）一次性付款，经甲方验收合格后，甲方收到乙方提供的增值税专用发票后，甲方在本合同约定时间内完成支付</w:t>
      </w:r>
      <w:r>
        <w:rPr>
          <w:rFonts w:hint="eastAsia"/>
          <w:u w:val="single"/>
          <w:lang w:val="en-US" w:eastAsia="zh-CN"/>
        </w:rPr>
        <w:t>全部货款</w:t>
      </w:r>
      <w:r>
        <w:rPr>
          <w:rFonts w:hint="eastAsia"/>
          <w:u w:val="single"/>
        </w:rPr>
        <w:t xml:space="preserve">。  </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7250"/>
      <w:bookmarkStart w:id="400" w:name="_Toc19554"/>
      <w:bookmarkStart w:id="401" w:name="_Toc21423"/>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w:t>
      </w:r>
      <w:r>
        <w:rPr>
          <w:rFonts w:hint="eastAsia" w:ascii="宋体" w:hAnsi="宋体" w:cs="宋体"/>
          <w:sz w:val="24"/>
          <w:u w:val="single"/>
          <w:lang w:val="en-US" w:eastAsia="zh-CN"/>
        </w:rPr>
        <w:t>15</w:t>
      </w:r>
      <w:r>
        <w:rPr>
          <w:rFonts w:hint="eastAsia" w:ascii="宋体" w:hAnsi="宋体" w:cs="宋体"/>
          <w:sz w:val="24"/>
          <w:u w:val="single"/>
        </w:rPr>
        <w:t xml:space="preserve"> </w:t>
      </w:r>
      <w:r>
        <w:rPr>
          <w:rFonts w:hint="eastAsia" w:ascii="宋体" w:hAnsi="宋体" w:cs="宋体"/>
          <w:sz w:val="24"/>
        </w:rPr>
        <w:t>天的，甲方有权单方解除本合同，并要求乙方一次性承担（□本合同累计已发生金额/</w:t>
      </w:r>
      <w:r>
        <w:rPr>
          <w:rFonts w:hint="eastAsia" w:ascii="宋体" w:hAnsi="宋体" w:cs="宋体"/>
          <w:sz w:val="24"/>
        </w:rPr>
        <w:sym w:font="Wingdings 2" w:char="0052"/>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w:t>
      </w:r>
      <w:r>
        <w:rPr>
          <w:rFonts w:hint="eastAsia" w:ascii="宋体" w:hAnsi="宋体" w:cs="宋体"/>
          <w:sz w:val="24"/>
          <w:u w:val="single"/>
          <w:lang w:val="en-US" w:eastAsia="zh-CN"/>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28375"/>
      <w:bookmarkStart w:id="403" w:name="_Toc15583"/>
      <w:bookmarkStart w:id="404" w:name="_Toc16021"/>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val="0"/>
          <w:iCs/>
          <w:sz w:val="24"/>
          <w:u w:val="single"/>
        </w:rPr>
        <w:t xml:space="preserve">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7245"/>
      <w:bookmarkStart w:id="406" w:name="_Toc15322"/>
      <w:bookmarkStart w:id="407" w:name="_Toc11173"/>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2"/>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109"/>
      <w:bookmarkStart w:id="409" w:name="_Ref467378499"/>
      <w:bookmarkStart w:id="410" w:name="_Ref467379195"/>
      <w:bookmarkStart w:id="411" w:name="_Ref467379094"/>
      <w:bookmarkStart w:id="412" w:name="_Toc28763"/>
      <w:bookmarkStart w:id="413" w:name="_Ref467379101"/>
      <w:bookmarkStart w:id="414" w:name="_Toc259093669"/>
      <w:bookmarkStart w:id="415" w:name="_Ref467379205"/>
      <w:bookmarkStart w:id="416" w:name="_Toc279701240"/>
      <w:bookmarkStart w:id="417" w:name="_Ref467378463"/>
      <w:bookmarkStart w:id="418" w:name="_Ref467379225"/>
      <w:bookmarkStart w:id="419" w:name="_Ref467379214"/>
      <w:bookmarkStart w:id="420" w:name="_Toc19614"/>
      <w:bookmarkStart w:id="421" w:name="_Toc16917"/>
      <w:bookmarkStart w:id="422" w:name="_Ref467378404"/>
      <w:bookmarkStart w:id="423" w:name="_Toc487900349"/>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487900350"/>
      <w:bookmarkStart w:id="428" w:name="_Toc279701241"/>
      <w:bookmarkStart w:id="429" w:name="_Toc13336"/>
      <w:bookmarkStart w:id="430" w:name="_Toc27635"/>
      <w:bookmarkStart w:id="431" w:name="_Toc32504"/>
      <w:bookmarkStart w:id="432" w:name="_Toc259093670"/>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487900351"/>
      <w:bookmarkStart w:id="434" w:name="_Toc9829"/>
      <w:bookmarkStart w:id="435" w:name="_Toc27853"/>
      <w:bookmarkStart w:id="436" w:name="_Toc279701242"/>
      <w:bookmarkStart w:id="437" w:name="_Toc259093671"/>
      <w:bookmarkStart w:id="438" w:name="_Toc31634"/>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29149"/>
      <w:bookmarkStart w:id="440" w:name="_Toc11932"/>
      <w:bookmarkStart w:id="441" w:name="_Toc4194"/>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30272"/>
      <w:bookmarkStart w:id="443" w:name="_Toc26182"/>
      <w:bookmarkStart w:id="444" w:name="_Toc19074"/>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279701247"/>
      <w:bookmarkStart w:id="447" w:name="_Ref467379793"/>
      <w:bookmarkStart w:id="448" w:name="_Toc259093676"/>
      <w:bookmarkStart w:id="449" w:name="_Toc487900357"/>
      <w:bookmarkStart w:id="450" w:name="_Ref46737980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259093677"/>
      <w:bookmarkStart w:id="453" w:name="_Ref467379923"/>
      <w:bookmarkStart w:id="454" w:name="_Toc279701248"/>
      <w:bookmarkStart w:id="455" w:name="_Toc487900358"/>
      <w:bookmarkStart w:id="456" w:name="_Ref467379852"/>
      <w:bookmarkStart w:id="457" w:name="_Ref467379863"/>
      <w:bookmarkStart w:id="458" w:name="_Toc3225"/>
      <w:bookmarkStart w:id="459" w:name="_Toc774"/>
      <w:bookmarkStart w:id="460" w:name="_Toc16110"/>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279701252"/>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487900364"/>
      <w:bookmarkStart w:id="469" w:name="_Toc259093683"/>
      <w:bookmarkStart w:id="470" w:name="_Ref467378121"/>
      <w:bookmarkStart w:id="471" w:name="_Toc27970125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487900369"/>
      <w:bookmarkStart w:id="473" w:name="_Toc259093688"/>
      <w:bookmarkStart w:id="474" w:name="_Toc279701259"/>
      <w:bookmarkStart w:id="475" w:name="_Toc15237"/>
      <w:bookmarkStart w:id="476" w:name="_Toc10366"/>
      <w:bookmarkStart w:id="477"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4066"/>
      <w:bookmarkStart w:id="480" w:name="_Toc16508"/>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487900365"/>
      <w:bookmarkStart w:id="482" w:name="_Toc689"/>
      <w:bookmarkStart w:id="483" w:name="_Toc30676"/>
      <w:bookmarkStart w:id="484" w:name="_Toc259093684"/>
      <w:bookmarkStart w:id="485" w:name="_Toc279701255"/>
      <w:bookmarkStart w:id="486" w:name="_Toc6969"/>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16959"/>
      <w:bookmarkStart w:id="488" w:name="_Toc279701258"/>
      <w:bookmarkStart w:id="489" w:name="_Toc487900368"/>
      <w:bookmarkStart w:id="490" w:name="_Toc7102"/>
      <w:bookmarkStart w:id="491" w:name="_Toc8298"/>
      <w:bookmarkStart w:id="492" w:name="_Toc259093687"/>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29333"/>
      <w:bookmarkStart w:id="494" w:name="_Toc6134"/>
      <w:bookmarkStart w:id="495" w:name="_Toc15387"/>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487900371"/>
      <w:bookmarkStart w:id="497" w:name="_Toc279701261"/>
      <w:bookmarkStart w:id="498" w:name="_Toc259093690"/>
      <w:bookmarkStart w:id="499" w:name="_Toc25182"/>
      <w:bookmarkStart w:id="500" w:name="_Toc19604"/>
      <w:bookmarkStart w:id="501" w:name="_Toc1128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30599"/>
      <w:bookmarkStart w:id="505" w:name="_Toc18540"/>
      <w:bookmarkStart w:id="506" w:name="_Toc4355"/>
      <w:bookmarkStart w:id="507" w:name="_Toc259093691"/>
      <w:bookmarkStart w:id="508" w:name="_Toc487900372"/>
      <w:bookmarkStart w:id="509" w:name="_Toc279701262"/>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510183657@qq.com</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487900373"/>
      <w:bookmarkStart w:id="511" w:name="_Toc10330"/>
      <w:bookmarkStart w:id="512" w:name="_Toc18567"/>
      <w:bookmarkStart w:id="513" w:name="_Toc12773"/>
      <w:bookmarkStart w:id="514" w:name="_Toc259093692"/>
      <w:bookmarkStart w:id="515" w:name="_Toc27970126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cs="Times New Roman"/>
          <w:b/>
          <w:szCs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pStyle w:val="6"/>
      </w:pPr>
    </w:p>
    <w:p>
      <w:pPr>
        <w:pStyle w:val="7"/>
      </w:pPr>
    </w:p>
    <w:p>
      <w:pPr>
        <w:pStyle w:val="8"/>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2024年临江公司消防泡沫液采购</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13"/>
        <w:rPr>
          <w:color w:val="auto"/>
        </w:rPr>
      </w:pPr>
    </w:p>
    <w:p/>
    <w:p>
      <w:pPr>
        <w:pStyle w:val="13"/>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2024年临江公司消防泡沫液采购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202401015</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2"/>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ind w:left="0" w:leftChars="0" w:firstLine="0" w:firstLineChars="0"/>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2023年临江公司消防泡沫液</w:t>
      </w:r>
      <w:r>
        <w:rPr>
          <w:rFonts w:hint="eastAsia" w:cs="仿宋" w:asciiTheme="minorEastAsia" w:hAnsiTheme="minorEastAsia"/>
          <w:sz w:val="24"/>
        </w:rPr>
        <w:t>【项目编号：</w:t>
      </w:r>
      <w:r>
        <w:rPr>
          <w:rFonts w:hint="eastAsia" w:cs="仿宋" w:asciiTheme="minorEastAsia" w:hAnsiTheme="minorEastAsia"/>
          <w:sz w:val="24"/>
          <w:lang w:eastAsia="zh-CN"/>
        </w:rPr>
        <w:t>202401015</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lang w:val="en-US" w:eastAsia="zh-CN"/>
        </w:rPr>
        <w:t xml:space="preserve"> </w:t>
      </w:r>
      <w:r>
        <w:rPr>
          <w:rFonts w:hint="eastAsia" w:cs="仿宋" w:asciiTheme="minorEastAsia" w:hAnsiTheme="minorEastAsia"/>
          <w:kern w:val="0"/>
          <w:sz w:val="24"/>
          <w:u w:val="single"/>
          <w:lang w:eastAsia="zh-CN"/>
        </w:rPr>
        <w:t>2023年临江公司消防泡沫液</w:t>
      </w:r>
      <w:r>
        <w:rPr>
          <w:rFonts w:hint="eastAsia" w:cs="仿宋" w:asciiTheme="minorEastAsia" w:hAnsiTheme="minorEastAsia"/>
          <w:kern w:val="0"/>
          <w:sz w:val="24"/>
          <w:u w:val="single"/>
        </w:rPr>
        <w:t>【项目编号：</w:t>
      </w:r>
      <w:r>
        <w:rPr>
          <w:rFonts w:hint="eastAsia" w:cs="仿宋" w:asciiTheme="minorEastAsia" w:hAnsiTheme="minorEastAsia"/>
          <w:kern w:val="0"/>
          <w:sz w:val="24"/>
          <w:u w:val="single"/>
          <w:lang w:eastAsia="zh-CN"/>
        </w:rPr>
        <w:t>202401015</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2"/>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2"/>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w:t>
      </w:r>
      <w:r>
        <w:rPr>
          <w:rFonts w:hint="eastAsia" w:ascii="宋体" w:hAnsi="宋体" w:eastAsia="宋体" w:cs="宋体"/>
          <w:sz w:val="24"/>
          <w:u w:val="single"/>
          <w:lang w:eastAsia="zh-CN"/>
        </w:rPr>
        <w:t>2023年临江公司消防泡沫液</w:t>
      </w:r>
      <w:r>
        <w:rPr>
          <w:rFonts w:hint="eastAsia" w:ascii="宋体" w:hAnsi="宋体" w:eastAsia="宋体" w:cs="宋体"/>
          <w:sz w:val="24"/>
          <w:u w:val="single"/>
        </w:rPr>
        <w:t>【项目编号：</w:t>
      </w:r>
      <w:r>
        <w:rPr>
          <w:rFonts w:hint="eastAsia" w:ascii="宋体" w:hAnsi="宋体" w:eastAsia="宋体" w:cs="宋体"/>
          <w:sz w:val="24"/>
          <w:u w:val="single"/>
          <w:lang w:eastAsia="zh-CN"/>
        </w:rPr>
        <w:t>202401015</w:t>
      </w:r>
      <w:r>
        <w:rPr>
          <w:rFonts w:hint="eastAsia" w:ascii="宋体" w:hAnsi="宋体" w:eastAsia="宋体" w:cs="宋体"/>
          <w:sz w:val="24"/>
          <w:u w:val="single"/>
        </w:rPr>
        <w:t xml:space="preserve">】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pStyle w:val="2"/>
      </w:pPr>
    </w:p>
    <w:p>
      <w:pPr>
        <w:spacing w:line="360" w:lineRule="auto"/>
        <w:jc w:val="both"/>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2024年临江公司消防泡沫液采购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202401015</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2024年临江公司消防泡沫液采购</w:t>
      </w:r>
      <w:r>
        <w:rPr>
          <w:rFonts w:hint="eastAsia" w:cs="仿宋" w:asciiTheme="minorEastAsia" w:hAnsiTheme="minorEastAsia"/>
          <w:sz w:val="24"/>
          <w:u w:val="single"/>
          <w:lang w:val="en-US" w:eastAsia="zh-CN"/>
        </w:rPr>
        <w:t>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202401015</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12"/>
        <w:gridCol w:w="1188"/>
        <w:gridCol w:w="3334"/>
        <w:gridCol w:w="897"/>
        <w:gridCol w:w="783"/>
        <w:gridCol w:w="1061"/>
        <w:gridCol w:w="986"/>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8"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序号</w:t>
            </w:r>
          </w:p>
        </w:tc>
        <w:tc>
          <w:tcPr>
            <w:tcW w:w="1212"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名称</w:t>
            </w:r>
          </w:p>
        </w:tc>
        <w:tc>
          <w:tcPr>
            <w:tcW w:w="1188"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品牌</w:t>
            </w:r>
          </w:p>
        </w:tc>
        <w:tc>
          <w:tcPr>
            <w:tcW w:w="3334"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规格型号</w:t>
            </w:r>
          </w:p>
        </w:tc>
        <w:tc>
          <w:tcPr>
            <w:tcW w:w="897"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数量</w:t>
            </w:r>
          </w:p>
        </w:tc>
        <w:tc>
          <w:tcPr>
            <w:tcW w:w="783"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单位</w:t>
            </w:r>
          </w:p>
        </w:tc>
        <w:tc>
          <w:tcPr>
            <w:tcW w:w="1061"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单价</w:t>
            </w:r>
          </w:p>
        </w:tc>
        <w:tc>
          <w:tcPr>
            <w:tcW w:w="986"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总价</w:t>
            </w:r>
          </w:p>
        </w:tc>
        <w:tc>
          <w:tcPr>
            <w:tcW w:w="3296" w:type="dxa"/>
            <w:vAlign w:val="center"/>
          </w:tcPr>
          <w:p>
            <w:pPr>
              <w:spacing w:line="360" w:lineRule="auto"/>
              <w:jc w:val="center"/>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8" w:type="dxa"/>
            <w:vAlign w:val="center"/>
          </w:tcPr>
          <w:p>
            <w:pPr>
              <w:keepNext w:val="0"/>
              <w:keepLines w:val="0"/>
              <w:widowControl/>
              <w:suppressLineNumbers w:val="0"/>
              <w:jc w:val="center"/>
              <w:textAlignment w:val="center"/>
              <w:rPr>
                <w:rFonts w:hint="eastAsia" w:ascii="宋体" w:hAnsi="宋体" w:eastAsia="宋体" w:cs="宋体"/>
                <w:bCs w:val="0"/>
                <w:color w:val="auto"/>
                <w:sz w:val="18"/>
                <w:szCs w:val="18"/>
              </w:rPr>
            </w:pPr>
            <w:r>
              <w:rPr>
                <w:rFonts w:hint="eastAsia" w:ascii="宋体" w:hAnsi="宋体" w:eastAsia="宋体" w:cs="宋体"/>
                <w:i w:val="0"/>
                <w:iCs w:val="0"/>
                <w:color w:val="auto"/>
                <w:kern w:val="0"/>
                <w:sz w:val="18"/>
                <w:szCs w:val="18"/>
                <w:u w:val="none"/>
                <w:lang w:val="en-US" w:eastAsia="zh-CN" w:bidi="ar"/>
              </w:rPr>
              <w:t>1</w:t>
            </w:r>
          </w:p>
        </w:tc>
        <w:tc>
          <w:tcPr>
            <w:tcW w:w="12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消防泡沫液</w:t>
            </w:r>
          </w:p>
        </w:tc>
        <w:tc>
          <w:tcPr>
            <w:tcW w:w="118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p>
        </w:tc>
        <w:tc>
          <w:tcPr>
            <w:tcW w:w="3334" w:type="dxa"/>
            <w:vAlign w:val="center"/>
          </w:tcPr>
          <w:p>
            <w:pPr>
              <w:keepNext w:val="0"/>
              <w:keepLines w:val="0"/>
              <w:widowControl/>
              <w:suppressLineNumbers w:val="0"/>
              <w:jc w:val="center"/>
              <w:textAlignment w:val="center"/>
              <w:rPr>
                <w:rFonts w:hint="default" w:ascii="宋体" w:hAnsi="宋体" w:eastAsia="宋体" w:cs="宋体"/>
                <w:b w:val="0"/>
                <w:bCs w:val="0"/>
                <w:color w:val="auto"/>
                <w:sz w:val="18"/>
                <w:szCs w:val="18"/>
                <w:lang w:val="en-US" w:eastAsia="zh-CN"/>
              </w:rPr>
            </w:pPr>
            <w:r>
              <w:rPr>
                <w:rFonts w:hint="default" w:ascii="宋体" w:hAnsi="宋体" w:eastAsia="宋体" w:cs="宋体"/>
                <w:b w:val="0"/>
                <w:bCs w:val="0"/>
                <w:color w:val="auto"/>
                <w:sz w:val="18"/>
                <w:szCs w:val="18"/>
                <w:lang w:val="en-US" w:eastAsia="zh-CN"/>
              </w:rPr>
              <w:t>AFFF/AR-6%，满足GB15308-2006《泡沫灭火剂》标准</w:t>
            </w:r>
            <w:r>
              <w:rPr>
                <w:rFonts w:hint="eastAsia" w:ascii="宋体" w:hAnsi="宋体" w:eastAsia="宋体" w:cs="宋体"/>
                <w:b w:val="0"/>
                <w:bCs w:val="0"/>
                <w:color w:val="auto"/>
                <w:sz w:val="18"/>
                <w:szCs w:val="18"/>
                <w:lang w:val="en-US" w:eastAsia="zh-CN"/>
              </w:rPr>
              <w:t>，凝固点-10℃</w:t>
            </w:r>
            <w:r>
              <w:rPr>
                <w:rFonts w:hint="default" w:ascii="宋体" w:hAnsi="宋体" w:eastAsia="宋体" w:cs="宋体"/>
                <w:b w:val="0"/>
                <w:bCs w:val="0"/>
                <w:color w:val="auto"/>
                <w:sz w:val="18"/>
                <w:szCs w:val="18"/>
                <w:lang w:val="en-US" w:eastAsia="zh-CN"/>
              </w:rPr>
              <w:t>。</w:t>
            </w:r>
          </w:p>
        </w:tc>
        <w:tc>
          <w:tcPr>
            <w:tcW w:w="89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吨</w:t>
            </w:r>
          </w:p>
        </w:tc>
        <w:tc>
          <w:tcPr>
            <w:tcW w:w="783" w:type="dxa"/>
            <w:vAlign w:val="center"/>
          </w:tcPr>
          <w:p>
            <w:pPr>
              <w:keepNext w:val="0"/>
              <w:keepLines w:val="0"/>
              <w:widowControl/>
              <w:suppressLineNumbers w:val="0"/>
              <w:jc w:val="center"/>
              <w:textAlignment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10</w:t>
            </w:r>
          </w:p>
        </w:tc>
        <w:tc>
          <w:tcPr>
            <w:tcW w:w="10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32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default" w:ascii="宋体" w:hAnsi="宋体" w:eastAsia="宋体" w:cs="宋体"/>
                <w:b w:val="0"/>
                <w:bCs w:val="0"/>
                <w:color w:val="auto"/>
                <w:sz w:val="18"/>
                <w:szCs w:val="18"/>
                <w:lang w:val="en-US" w:eastAsia="zh-CN"/>
              </w:rPr>
            </w:pPr>
            <w:r>
              <w:rPr>
                <w:rFonts w:hint="default" w:ascii="宋体" w:hAnsi="宋体" w:eastAsia="宋体" w:cs="宋体"/>
                <w:b w:val="0"/>
                <w:bCs w:val="0"/>
                <w:color w:val="auto"/>
                <w:sz w:val="18"/>
                <w:szCs w:val="18"/>
                <w:lang w:val="en-US" w:eastAsia="zh-CN"/>
              </w:rPr>
              <w:t>7吨需要旧液回收运走，新液充装。</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default" w:ascii="宋体" w:hAnsi="宋体" w:eastAsia="宋体" w:cs="宋体"/>
                <w:b w:val="0"/>
                <w:bCs w:val="0"/>
                <w:color w:val="auto"/>
                <w:sz w:val="18"/>
                <w:szCs w:val="18"/>
                <w:lang w:val="en-US" w:eastAsia="zh-CN"/>
              </w:rPr>
            </w:pPr>
            <w:r>
              <w:rPr>
                <w:rFonts w:hint="default" w:ascii="宋体" w:hAnsi="宋体" w:eastAsia="宋体" w:cs="宋体"/>
                <w:b w:val="0"/>
                <w:bCs w:val="0"/>
                <w:color w:val="auto"/>
                <w:sz w:val="18"/>
                <w:szCs w:val="18"/>
                <w:lang w:val="en-US" w:eastAsia="zh-CN"/>
              </w:rPr>
              <w:t>2吨装入消防车内。</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default" w:ascii="宋体" w:hAnsi="宋体" w:eastAsia="宋体" w:cs="宋体"/>
                <w:b w:val="0"/>
                <w:bCs w:val="0"/>
                <w:color w:val="auto"/>
                <w:sz w:val="18"/>
                <w:szCs w:val="18"/>
                <w:lang w:val="en-US" w:eastAsia="zh-CN"/>
              </w:rPr>
            </w:pPr>
            <w:r>
              <w:rPr>
                <w:rFonts w:hint="default" w:ascii="宋体" w:hAnsi="宋体" w:eastAsia="宋体" w:cs="宋体"/>
                <w:b w:val="0"/>
                <w:bCs w:val="0"/>
                <w:color w:val="auto"/>
                <w:sz w:val="18"/>
                <w:szCs w:val="18"/>
                <w:lang w:val="en-US" w:eastAsia="zh-CN"/>
              </w:rPr>
              <w:t>1吨为</w:t>
            </w:r>
            <w:r>
              <w:rPr>
                <w:rFonts w:hint="eastAsia" w:ascii="宋体" w:hAnsi="宋体" w:eastAsia="宋体" w:cs="宋体"/>
                <w:b w:val="0"/>
                <w:bCs w:val="0"/>
                <w:color w:val="auto"/>
                <w:sz w:val="18"/>
                <w:szCs w:val="18"/>
                <w:lang w:val="en-US" w:eastAsia="zh-CN"/>
              </w:rPr>
              <w:t>50kg</w:t>
            </w:r>
            <w:r>
              <w:rPr>
                <w:rFonts w:hint="default" w:ascii="宋体" w:hAnsi="宋体" w:eastAsia="宋体" w:cs="宋体"/>
                <w:b w:val="0"/>
                <w:bCs w:val="0"/>
                <w:color w:val="auto"/>
                <w:sz w:val="18"/>
                <w:szCs w:val="18"/>
                <w:lang w:val="en-US" w:eastAsia="zh-CN"/>
              </w:rPr>
              <w:t>塑料</w:t>
            </w:r>
            <w:r>
              <w:rPr>
                <w:rFonts w:hint="eastAsia" w:ascii="宋体" w:hAnsi="宋体" w:eastAsia="宋体" w:cs="宋体"/>
                <w:b w:val="0"/>
                <w:bCs w:val="0"/>
                <w:color w:val="auto"/>
                <w:sz w:val="18"/>
                <w:szCs w:val="18"/>
                <w:lang w:val="en-US" w:eastAsia="zh-CN"/>
              </w:rPr>
              <w:t>桶</w:t>
            </w:r>
            <w:r>
              <w:rPr>
                <w:rFonts w:hint="default" w:ascii="宋体" w:hAnsi="宋体" w:eastAsia="宋体" w:cs="宋体"/>
                <w:b w:val="0"/>
                <w:bCs w:val="0"/>
                <w:color w:val="auto"/>
                <w:sz w:val="18"/>
                <w:szCs w:val="18"/>
                <w:lang w:val="en-US" w:eastAsia="zh-CN"/>
              </w:rPr>
              <w:t>装备用，塑料桶不回收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8"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响应报价合计（小写）</w:t>
            </w:r>
          </w:p>
        </w:tc>
        <w:tc>
          <w:tcPr>
            <w:tcW w:w="10357" w:type="dxa"/>
            <w:gridSpan w:val="6"/>
            <w:vAlign w:val="center"/>
          </w:tcPr>
          <w:p>
            <w:pPr>
              <w:spacing w:line="360" w:lineRule="auto"/>
              <w:jc w:val="center"/>
              <w:rPr>
                <w:rFonts w:hint="eastAsia" w:ascii="宋体" w:hAnsi="宋体" w:eastAsia="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8"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响应报价合计（大写）</w:t>
            </w:r>
          </w:p>
        </w:tc>
        <w:tc>
          <w:tcPr>
            <w:tcW w:w="10357" w:type="dxa"/>
            <w:gridSpan w:val="6"/>
            <w:vAlign w:val="center"/>
          </w:tcPr>
          <w:p>
            <w:pPr>
              <w:spacing w:line="360" w:lineRule="auto"/>
              <w:jc w:val="center"/>
              <w:rPr>
                <w:rFonts w:hint="eastAsia" w:ascii="宋体" w:hAnsi="宋体" w:eastAsia="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8"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税率</w:t>
            </w:r>
          </w:p>
        </w:tc>
        <w:tc>
          <w:tcPr>
            <w:tcW w:w="10357" w:type="dxa"/>
            <w:gridSpan w:val="6"/>
            <w:vAlign w:val="center"/>
          </w:tcPr>
          <w:p>
            <w:pPr>
              <w:spacing w:line="360" w:lineRule="auto"/>
              <w:jc w:val="center"/>
              <w:rPr>
                <w:rFonts w:hint="eastAsia" w:ascii="宋体" w:hAnsi="宋体" w:eastAsia="宋体" w:cs="宋体"/>
                <w:b/>
                <w:color w:val="auto"/>
                <w:sz w:val="18"/>
                <w:szCs w:val="18"/>
              </w:rPr>
            </w:pPr>
          </w:p>
        </w:tc>
      </w:tr>
    </w:tbl>
    <w:p>
      <w:pPr>
        <w:snapToGrid w:val="0"/>
        <w:spacing w:line="360" w:lineRule="auto"/>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6"/>
      </w:pPr>
    </w:p>
    <w:p>
      <w:pPr>
        <w:pStyle w:val="7"/>
      </w:pPr>
    </w:p>
    <w:p>
      <w:p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2"/>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2024年临江公司消防泡沫液采购</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202401015</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2023年临江公司消防泡沫液</w:t>
      </w:r>
      <w:r>
        <w:rPr>
          <w:rFonts w:hint="eastAsia" w:cs="仿宋" w:asciiTheme="minorEastAsia" w:hAnsiTheme="minorEastAsia"/>
          <w:sz w:val="24"/>
        </w:rPr>
        <w:t>【项目编号：】</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MzZkZjM2MDJhYjY1OWNjZDE1ZDE1YjY1MWQ5MjAifQ=="/>
  </w:docVars>
  <w:rsids>
    <w:rsidRoot w:val="004E73AF"/>
    <w:rsid w:val="00211F61"/>
    <w:rsid w:val="00466F38"/>
    <w:rsid w:val="004E73AF"/>
    <w:rsid w:val="00505519"/>
    <w:rsid w:val="00816543"/>
    <w:rsid w:val="00935EC2"/>
    <w:rsid w:val="00A35347"/>
    <w:rsid w:val="00B26A91"/>
    <w:rsid w:val="00C3645A"/>
    <w:rsid w:val="00D00625"/>
    <w:rsid w:val="00E81C9E"/>
    <w:rsid w:val="00F3467F"/>
    <w:rsid w:val="00FC7298"/>
    <w:rsid w:val="013F5D27"/>
    <w:rsid w:val="0156352C"/>
    <w:rsid w:val="01E925F2"/>
    <w:rsid w:val="023E1286"/>
    <w:rsid w:val="030669ED"/>
    <w:rsid w:val="032B7E17"/>
    <w:rsid w:val="034B5FC8"/>
    <w:rsid w:val="036E630A"/>
    <w:rsid w:val="044837C2"/>
    <w:rsid w:val="04925647"/>
    <w:rsid w:val="049A2681"/>
    <w:rsid w:val="04E634F4"/>
    <w:rsid w:val="04E83035"/>
    <w:rsid w:val="050D04E5"/>
    <w:rsid w:val="051B6528"/>
    <w:rsid w:val="05B622F4"/>
    <w:rsid w:val="06803F38"/>
    <w:rsid w:val="07013F3A"/>
    <w:rsid w:val="078B333A"/>
    <w:rsid w:val="07C24B12"/>
    <w:rsid w:val="07D15ABF"/>
    <w:rsid w:val="087E795F"/>
    <w:rsid w:val="09221DB5"/>
    <w:rsid w:val="09EC7123"/>
    <w:rsid w:val="09ED56C9"/>
    <w:rsid w:val="0B3C1DE3"/>
    <w:rsid w:val="0B530D41"/>
    <w:rsid w:val="0BF7590B"/>
    <w:rsid w:val="0C492847"/>
    <w:rsid w:val="0CF31D21"/>
    <w:rsid w:val="0DBE1FBD"/>
    <w:rsid w:val="0EE3057E"/>
    <w:rsid w:val="0F111837"/>
    <w:rsid w:val="0F81598B"/>
    <w:rsid w:val="0FB91E94"/>
    <w:rsid w:val="10825D03"/>
    <w:rsid w:val="112537EC"/>
    <w:rsid w:val="11C46A46"/>
    <w:rsid w:val="12635AA8"/>
    <w:rsid w:val="12E110C3"/>
    <w:rsid w:val="12F14156"/>
    <w:rsid w:val="13201BEB"/>
    <w:rsid w:val="13835120"/>
    <w:rsid w:val="143E2438"/>
    <w:rsid w:val="14ED0EF5"/>
    <w:rsid w:val="15CB2DA0"/>
    <w:rsid w:val="15F43E3B"/>
    <w:rsid w:val="16423D48"/>
    <w:rsid w:val="166F3635"/>
    <w:rsid w:val="16806E74"/>
    <w:rsid w:val="17AF353E"/>
    <w:rsid w:val="17CF0144"/>
    <w:rsid w:val="17DE3E23"/>
    <w:rsid w:val="185870FA"/>
    <w:rsid w:val="185A544F"/>
    <w:rsid w:val="18890233"/>
    <w:rsid w:val="190D49C0"/>
    <w:rsid w:val="198737C7"/>
    <w:rsid w:val="19976A31"/>
    <w:rsid w:val="19DC6BDA"/>
    <w:rsid w:val="1A686421"/>
    <w:rsid w:val="1AA56FDE"/>
    <w:rsid w:val="1B1B25BA"/>
    <w:rsid w:val="1B7913A6"/>
    <w:rsid w:val="1D204FBE"/>
    <w:rsid w:val="1D61352C"/>
    <w:rsid w:val="1D9B6FDC"/>
    <w:rsid w:val="1DFA0457"/>
    <w:rsid w:val="1E5F5CBE"/>
    <w:rsid w:val="1E7E1EBC"/>
    <w:rsid w:val="1E8307F5"/>
    <w:rsid w:val="1F457921"/>
    <w:rsid w:val="20331409"/>
    <w:rsid w:val="20BA2271"/>
    <w:rsid w:val="20D12777"/>
    <w:rsid w:val="20FB672E"/>
    <w:rsid w:val="213339C4"/>
    <w:rsid w:val="21677697"/>
    <w:rsid w:val="21F833F1"/>
    <w:rsid w:val="228D26CE"/>
    <w:rsid w:val="22916FA5"/>
    <w:rsid w:val="247C6E9E"/>
    <w:rsid w:val="25650E5F"/>
    <w:rsid w:val="26010880"/>
    <w:rsid w:val="262F7557"/>
    <w:rsid w:val="26F15921"/>
    <w:rsid w:val="26F5161A"/>
    <w:rsid w:val="294E0F60"/>
    <w:rsid w:val="2987716A"/>
    <w:rsid w:val="29A7365D"/>
    <w:rsid w:val="29AE18A7"/>
    <w:rsid w:val="29EA3E3E"/>
    <w:rsid w:val="2A6366FF"/>
    <w:rsid w:val="2B117932"/>
    <w:rsid w:val="2B3D5BF4"/>
    <w:rsid w:val="2C4141D8"/>
    <w:rsid w:val="2C8F48DA"/>
    <w:rsid w:val="2C901738"/>
    <w:rsid w:val="2D0A2172"/>
    <w:rsid w:val="2F4D3609"/>
    <w:rsid w:val="2F5836E9"/>
    <w:rsid w:val="2F633D0C"/>
    <w:rsid w:val="30062480"/>
    <w:rsid w:val="30556F21"/>
    <w:rsid w:val="308C5F1F"/>
    <w:rsid w:val="31111553"/>
    <w:rsid w:val="314B6E80"/>
    <w:rsid w:val="32264FDA"/>
    <w:rsid w:val="32843E96"/>
    <w:rsid w:val="32BC401B"/>
    <w:rsid w:val="333077D1"/>
    <w:rsid w:val="34454474"/>
    <w:rsid w:val="34B63EBC"/>
    <w:rsid w:val="3572263D"/>
    <w:rsid w:val="35D22DC1"/>
    <w:rsid w:val="3612023A"/>
    <w:rsid w:val="36162BCB"/>
    <w:rsid w:val="36A71B58"/>
    <w:rsid w:val="37103BA1"/>
    <w:rsid w:val="37514AF4"/>
    <w:rsid w:val="376911DC"/>
    <w:rsid w:val="37730884"/>
    <w:rsid w:val="377C0298"/>
    <w:rsid w:val="37AF3623"/>
    <w:rsid w:val="37B04D36"/>
    <w:rsid w:val="38AA1C6F"/>
    <w:rsid w:val="39C31C6C"/>
    <w:rsid w:val="3A115E84"/>
    <w:rsid w:val="3A6303AE"/>
    <w:rsid w:val="3A993EAE"/>
    <w:rsid w:val="3AB61186"/>
    <w:rsid w:val="3C283344"/>
    <w:rsid w:val="3C485F9D"/>
    <w:rsid w:val="3C7C70D7"/>
    <w:rsid w:val="3C940DD1"/>
    <w:rsid w:val="3C9A2D2B"/>
    <w:rsid w:val="3CA4104C"/>
    <w:rsid w:val="3D2B4CB5"/>
    <w:rsid w:val="3DD1098B"/>
    <w:rsid w:val="3E0C6463"/>
    <w:rsid w:val="3EA03F0B"/>
    <w:rsid w:val="3EE43BF5"/>
    <w:rsid w:val="403E57B7"/>
    <w:rsid w:val="411A0F39"/>
    <w:rsid w:val="415A5C88"/>
    <w:rsid w:val="41CE08E1"/>
    <w:rsid w:val="42112513"/>
    <w:rsid w:val="433C7ACC"/>
    <w:rsid w:val="435518AD"/>
    <w:rsid w:val="438151EE"/>
    <w:rsid w:val="43C04259"/>
    <w:rsid w:val="43F5787F"/>
    <w:rsid w:val="4482153F"/>
    <w:rsid w:val="4482659D"/>
    <w:rsid w:val="448E0268"/>
    <w:rsid w:val="44B6565C"/>
    <w:rsid w:val="4559568A"/>
    <w:rsid w:val="456B73DB"/>
    <w:rsid w:val="45A47533"/>
    <w:rsid w:val="46BC402D"/>
    <w:rsid w:val="472961BF"/>
    <w:rsid w:val="475528CD"/>
    <w:rsid w:val="47B265AF"/>
    <w:rsid w:val="47D712BF"/>
    <w:rsid w:val="47F70466"/>
    <w:rsid w:val="48023D62"/>
    <w:rsid w:val="496717C4"/>
    <w:rsid w:val="49725FF6"/>
    <w:rsid w:val="4A063A4F"/>
    <w:rsid w:val="4A1470AD"/>
    <w:rsid w:val="4A875AD1"/>
    <w:rsid w:val="4AAC0F57"/>
    <w:rsid w:val="4AE27CAC"/>
    <w:rsid w:val="4B1B2ECF"/>
    <w:rsid w:val="4B6E282F"/>
    <w:rsid w:val="4BAC48C9"/>
    <w:rsid w:val="4BB27DC6"/>
    <w:rsid w:val="4CEA2347"/>
    <w:rsid w:val="4D243428"/>
    <w:rsid w:val="4DCD2ABA"/>
    <w:rsid w:val="4DD64459"/>
    <w:rsid w:val="4E1E04FA"/>
    <w:rsid w:val="4EFA25EF"/>
    <w:rsid w:val="4F55619D"/>
    <w:rsid w:val="4F75420A"/>
    <w:rsid w:val="4F7F76BE"/>
    <w:rsid w:val="4F9246A8"/>
    <w:rsid w:val="4FA107F2"/>
    <w:rsid w:val="4FEB08B0"/>
    <w:rsid w:val="50A13664"/>
    <w:rsid w:val="50DD26D0"/>
    <w:rsid w:val="5119769F"/>
    <w:rsid w:val="51937E4D"/>
    <w:rsid w:val="51B33440"/>
    <w:rsid w:val="52383592"/>
    <w:rsid w:val="523875F5"/>
    <w:rsid w:val="52506204"/>
    <w:rsid w:val="52E55079"/>
    <w:rsid w:val="53312A7E"/>
    <w:rsid w:val="53FA1DF3"/>
    <w:rsid w:val="54AB2D04"/>
    <w:rsid w:val="557B35BC"/>
    <w:rsid w:val="55DB6EB1"/>
    <w:rsid w:val="563665FD"/>
    <w:rsid w:val="565C1CF5"/>
    <w:rsid w:val="571F3A0C"/>
    <w:rsid w:val="57F2034A"/>
    <w:rsid w:val="58207565"/>
    <w:rsid w:val="58235318"/>
    <w:rsid w:val="58E16E01"/>
    <w:rsid w:val="59121C77"/>
    <w:rsid w:val="59DE0E09"/>
    <w:rsid w:val="59DF6851"/>
    <w:rsid w:val="5A283DD0"/>
    <w:rsid w:val="5A6D1E94"/>
    <w:rsid w:val="5ACD76EE"/>
    <w:rsid w:val="5AD36B10"/>
    <w:rsid w:val="5AE272CA"/>
    <w:rsid w:val="5AF56121"/>
    <w:rsid w:val="5B171310"/>
    <w:rsid w:val="5B366E46"/>
    <w:rsid w:val="5B3D7F5F"/>
    <w:rsid w:val="5B460326"/>
    <w:rsid w:val="5C801FBD"/>
    <w:rsid w:val="5E007C1C"/>
    <w:rsid w:val="5EDB3650"/>
    <w:rsid w:val="5F0279C4"/>
    <w:rsid w:val="5F56549B"/>
    <w:rsid w:val="5F731843"/>
    <w:rsid w:val="5F944466"/>
    <w:rsid w:val="60844C26"/>
    <w:rsid w:val="60A9029A"/>
    <w:rsid w:val="60FA16F8"/>
    <w:rsid w:val="611A0747"/>
    <w:rsid w:val="6139287F"/>
    <w:rsid w:val="61A560A5"/>
    <w:rsid w:val="63CF15A0"/>
    <w:rsid w:val="64F66D5B"/>
    <w:rsid w:val="65A92947"/>
    <w:rsid w:val="661A50B7"/>
    <w:rsid w:val="671F6AA4"/>
    <w:rsid w:val="673E5F91"/>
    <w:rsid w:val="67D428B6"/>
    <w:rsid w:val="67D6317A"/>
    <w:rsid w:val="67D649B5"/>
    <w:rsid w:val="689F1462"/>
    <w:rsid w:val="68DB3E44"/>
    <w:rsid w:val="68ED6365"/>
    <w:rsid w:val="695732E1"/>
    <w:rsid w:val="6A490EEE"/>
    <w:rsid w:val="6A4E3ABD"/>
    <w:rsid w:val="6AE63D7E"/>
    <w:rsid w:val="6B041A51"/>
    <w:rsid w:val="6B2A62D8"/>
    <w:rsid w:val="6B462C2B"/>
    <w:rsid w:val="6B6D7E0C"/>
    <w:rsid w:val="6B8359E9"/>
    <w:rsid w:val="6BD277B9"/>
    <w:rsid w:val="6C1D6076"/>
    <w:rsid w:val="6C321620"/>
    <w:rsid w:val="6C5775A1"/>
    <w:rsid w:val="6C816727"/>
    <w:rsid w:val="6CAC7C7E"/>
    <w:rsid w:val="6DA02882"/>
    <w:rsid w:val="6DA12E69"/>
    <w:rsid w:val="6DBB3B60"/>
    <w:rsid w:val="6DD15131"/>
    <w:rsid w:val="6E874863"/>
    <w:rsid w:val="6EDE1CA1"/>
    <w:rsid w:val="6F0B4673"/>
    <w:rsid w:val="6F18123A"/>
    <w:rsid w:val="700E4F44"/>
    <w:rsid w:val="70173239"/>
    <w:rsid w:val="70516AED"/>
    <w:rsid w:val="711D3FA5"/>
    <w:rsid w:val="721A5B23"/>
    <w:rsid w:val="722C0729"/>
    <w:rsid w:val="72736CB4"/>
    <w:rsid w:val="72B931C1"/>
    <w:rsid w:val="72EB459F"/>
    <w:rsid w:val="734A515C"/>
    <w:rsid w:val="738D03F5"/>
    <w:rsid w:val="73E442FB"/>
    <w:rsid w:val="744A48B2"/>
    <w:rsid w:val="75903CD5"/>
    <w:rsid w:val="75A51775"/>
    <w:rsid w:val="75D87DB8"/>
    <w:rsid w:val="767E5B01"/>
    <w:rsid w:val="769B601A"/>
    <w:rsid w:val="76D65CAB"/>
    <w:rsid w:val="778F44F9"/>
    <w:rsid w:val="77F2017E"/>
    <w:rsid w:val="78E370A5"/>
    <w:rsid w:val="79017606"/>
    <w:rsid w:val="79D7762B"/>
    <w:rsid w:val="79EB254B"/>
    <w:rsid w:val="7BA82ABD"/>
    <w:rsid w:val="7C284683"/>
    <w:rsid w:val="7C734874"/>
    <w:rsid w:val="7C757EAB"/>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39"/>
    <w:pPr>
      <w:jc w:val="left"/>
    </w:pPr>
    <w:rPr>
      <w:b/>
      <w:caps/>
    </w:r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next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5">
    <w:name w:val="Table Grid"/>
    <w:basedOn w:val="14"/>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autoRedefine/>
    <w:qFormat/>
    <w:uiPriority w:val="1"/>
    <w:rPr>
      <w:rFonts w:ascii="宋体" w:hAnsi="宋体" w:eastAsia="宋体" w:cs="宋体"/>
      <w:lang w:val="zh-CN" w:bidi="zh-CN"/>
    </w:rPr>
  </w:style>
  <w:style w:type="paragraph" w:customStyle="1" w:styleId="18">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autoRedefine/>
    <w:qFormat/>
    <w:uiPriority w:val="0"/>
    <w:pPr>
      <w:spacing w:line="360" w:lineRule="exact"/>
      <w:ind w:firstLine="200" w:firstLineChars="200"/>
    </w:pPr>
    <w:rPr>
      <w:rFonts w:ascii="Arial" w:hAnsi="Arial"/>
    </w:rPr>
  </w:style>
  <w:style w:type="paragraph" w:customStyle="1" w:styleId="20">
    <w:name w:val="正文2"/>
    <w:basedOn w:val="1"/>
    <w:autoRedefine/>
    <w:qFormat/>
    <w:uiPriority w:val="0"/>
    <w:pPr>
      <w:spacing w:before="156" w:line="360" w:lineRule="auto"/>
      <w:ind w:firstLine="510" w:firstLineChars="200"/>
    </w:pPr>
    <w:rPr>
      <w:sz w:val="24"/>
      <w:szCs w:val="20"/>
    </w:rPr>
  </w:style>
  <w:style w:type="paragraph" w:customStyle="1" w:styleId="2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autoRedefine/>
    <w:qFormat/>
    <w:uiPriority w:val="0"/>
    <w:rPr>
      <w:rFonts w:ascii="宋体" w:hAnsi="Courier New"/>
      <w:kern w:val="0"/>
      <w:sz w:val="20"/>
      <w:szCs w:val="20"/>
    </w:rPr>
  </w:style>
  <w:style w:type="paragraph" w:customStyle="1" w:styleId="25">
    <w:name w:val="纯文本_0_0"/>
    <w:basedOn w:val="26"/>
    <w:autoRedefine/>
    <w:qFormat/>
    <w:uiPriority w:val="0"/>
    <w:rPr>
      <w:rFonts w:ascii="宋体" w:hAnsi="Courier New"/>
      <w:szCs w:val="21"/>
    </w:rPr>
  </w:style>
  <w:style w:type="paragraph" w:customStyle="1" w:styleId="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autoRedefine/>
    <w:qFormat/>
    <w:uiPriority w:val="99"/>
    <w:pPr>
      <w:ind w:firstLine="420" w:firstLineChars="200"/>
    </w:pPr>
  </w:style>
  <w:style w:type="paragraph" w:customStyle="1" w:styleId="2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autoRedefine/>
    <w:qFormat/>
    <w:uiPriority w:val="0"/>
    <w:rPr>
      <w:rFonts w:hint="eastAsia" w:ascii="宋体" w:hAnsi="宋体" w:eastAsia="宋体" w:cs="宋体"/>
      <w:color w:val="FF0000"/>
      <w:sz w:val="24"/>
      <w:szCs w:val="24"/>
      <w:u w:val="none"/>
    </w:rPr>
  </w:style>
  <w:style w:type="character" w:customStyle="1" w:styleId="32">
    <w:name w:val="font31"/>
    <w:basedOn w:val="16"/>
    <w:autoRedefine/>
    <w:qFormat/>
    <w:uiPriority w:val="0"/>
    <w:rPr>
      <w:rFonts w:hint="eastAsia" w:ascii="仿宋_GB2312" w:eastAsia="仿宋_GB2312" w:cs="仿宋_GB2312"/>
      <w:color w:val="000000"/>
      <w:sz w:val="24"/>
      <w:szCs w:val="24"/>
      <w:u w:val="none"/>
    </w:rPr>
  </w:style>
  <w:style w:type="character" w:customStyle="1" w:styleId="33">
    <w:name w:val="font41"/>
    <w:basedOn w:val="16"/>
    <w:autoRedefine/>
    <w:qFormat/>
    <w:uiPriority w:val="0"/>
    <w:rPr>
      <w:rFonts w:hint="eastAsia" w:ascii="仿宋_GB2312" w:eastAsia="仿宋_GB2312" w:cs="仿宋_GB2312"/>
      <w:color w:val="FF0000"/>
      <w:sz w:val="24"/>
      <w:szCs w:val="24"/>
      <w:u w:val="none"/>
    </w:rPr>
  </w:style>
  <w:style w:type="character" w:customStyle="1" w:styleId="34">
    <w:name w:val="font01"/>
    <w:basedOn w:val="16"/>
    <w:autoRedefine/>
    <w:qFormat/>
    <w:uiPriority w:val="0"/>
    <w:rPr>
      <w:rFonts w:hint="eastAsia" w:ascii="宋体" w:hAnsi="宋体" w:eastAsia="宋体" w:cs="宋体"/>
      <w:color w:val="000000"/>
      <w:sz w:val="24"/>
      <w:szCs w:val="24"/>
      <w:u w:val="none"/>
    </w:rPr>
  </w:style>
  <w:style w:type="character" w:customStyle="1" w:styleId="35">
    <w:name w:val="font51"/>
    <w:basedOn w:val="16"/>
    <w:autoRedefine/>
    <w:qFormat/>
    <w:uiPriority w:val="0"/>
    <w:rPr>
      <w:rFonts w:hint="eastAsia" w:ascii="宋体" w:hAnsi="宋体" w:eastAsia="宋体" w:cs="宋体"/>
      <w:color w:val="000000"/>
      <w:sz w:val="24"/>
      <w:szCs w:val="24"/>
      <w:u w:val="none"/>
    </w:rPr>
  </w:style>
  <w:style w:type="character" w:customStyle="1" w:styleId="36">
    <w:name w:val="font21"/>
    <w:basedOn w:val="16"/>
    <w:autoRedefine/>
    <w:qFormat/>
    <w:uiPriority w:val="0"/>
    <w:rPr>
      <w:rFonts w:hint="eastAsia" w:ascii="仿宋_GB2312" w:eastAsia="仿宋_GB2312" w:cs="仿宋_GB2312"/>
      <w:color w:val="FF0000"/>
      <w:sz w:val="24"/>
      <w:szCs w:val="24"/>
      <w:u w:val="none"/>
    </w:rPr>
  </w:style>
  <w:style w:type="paragraph" w:customStyle="1" w:styleId="37">
    <w:name w:val="正文文字缩进"/>
    <w:basedOn w:val="1"/>
    <w:autoRedefine/>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24325</Words>
  <Characters>26042</Characters>
  <Lines>224</Lines>
  <Paragraphs>63</Paragraphs>
  <TotalTime>6</TotalTime>
  <ScaleCrop>false</ScaleCrop>
  <LinksUpToDate>false</LinksUpToDate>
  <CharactersWithSpaces>29189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叶钐湖</cp:lastModifiedBy>
  <dcterms:modified xsi:type="dcterms:W3CDTF">2024-01-09T07:40:54Z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6A8FEE40B9E14D38A6934ACE40E79C8A_13</vt:lpwstr>
  </property>
</Properties>
</file>