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keepNext w:val="0"/>
        <w:keepLines w:val="0"/>
        <w:widowControl/>
        <w:suppressLineNumbers w:val="0"/>
        <w:jc w:val="center"/>
        <w:rPr>
          <w:color w:val="auto"/>
        </w:rPr>
      </w:pPr>
      <w:r>
        <w:rPr>
          <w:rFonts w:hint="eastAsia" w:cs="宋体" w:asciiTheme="minorEastAsia" w:hAnsiTheme="minorEastAsia"/>
          <w:color w:val="auto"/>
          <w:sz w:val="48"/>
          <w:szCs w:val="48"/>
          <w:u w:val="single"/>
        </w:rPr>
        <w:t>2024年临江公司</w:t>
      </w:r>
      <w:r>
        <w:rPr>
          <w:rFonts w:hint="eastAsia" w:cs="宋体" w:asciiTheme="minorEastAsia" w:hAnsiTheme="minorEastAsia"/>
          <w:color w:val="auto"/>
          <w:sz w:val="48"/>
          <w:szCs w:val="48"/>
          <w:u w:val="single"/>
          <w:lang w:val="en-US" w:eastAsia="zh-CN"/>
        </w:rPr>
        <w:t>地下水检测井服务</w:t>
      </w:r>
      <w:r>
        <w:rPr>
          <w:rFonts w:hint="eastAsia" w:cs="宋体" w:asciiTheme="minorEastAsia" w:hAnsiTheme="minorEastAsia"/>
          <w:color w:val="auto"/>
          <w:sz w:val="48"/>
          <w:szCs w:val="48"/>
          <w:u w:val="single"/>
        </w:rPr>
        <w:t>采购项目</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202403022</w:t>
      </w:r>
    </w:p>
    <w:p>
      <w:pPr>
        <w:spacing w:line="360" w:lineRule="auto"/>
        <w:jc w:val="center"/>
        <w:rPr>
          <w:rFonts w:cs="仿宋" w:asciiTheme="minorEastAsia" w:hAnsiTheme="minorEastAsia"/>
          <w:b/>
          <w:bCs/>
          <w:color w:val="auto"/>
          <w:sz w:val="72"/>
          <w:szCs w:val="72"/>
        </w:rPr>
      </w:pPr>
    </w:p>
    <w:p>
      <w:pPr>
        <w:pStyle w:val="3"/>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9"/>
        <w:rPr>
          <w:color w:val="auto"/>
        </w:rPr>
      </w:pPr>
    </w:p>
    <w:p>
      <w:pPr>
        <w:rPr>
          <w:color w:val="auto"/>
        </w:rPr>
      </w:pPr>
    </w:p>
    <w:p>
      <w:pPr>
        <w:pStyle w:val="9"/>
        <w:rPr>
          <w:color w:val="auto"/>
        </w:rPr>
      </w:pPr>
    </w:p>
    <w:p>
      <w:pPr>
        <w:rPr>
          <w:color w:val="auto"/>
        </w:rPr>
      </w:pPr>
    </w:p>
    <w:p>
      <w:pPr>
        <w:spacing w:line="360" w:lineRule="auto"/>
        <w:rPr>
          <w:rFonts w:cs="仿宋" w:asciiTheme="minorEastAsia" w:hAnsiTheme="minorEastAsia"/>
          <w:color w:val="auto"/>
          <w:sz w:val="24"/>
        </w:rPr>
      </w:pPr>
    </w:p>
    <w:p>
      <w:pPr>
        <w:pStyle w:val="9"/>
        <w:rPr>
          <w:rFonts w:cs="仿宋" w:asciiTheme="minorEastAsia" w:hAnsiTheme="minorEastAsia"/>
          <w:color w:val="auto"/>
          <w:sz w:val="24"/>
          <w:szCs w:val="24"/>
        </w:rPr>
      </w:pPr>
    </w:p>
    <w:p>
      <w:pPr>
        <w:pStyle w:val="9"/>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3</w:t>
      </w:r>
      <w:r>
        <w:rPr>
          <w:rFonts w:hint="eastAsia" w:cs="仿宋" w:asciiTheme="minorEastAsia" w:hAnsiTheme="minorEastAsia"/>
          <w:color w:val="auto"/>
          <w:sz w:val="32"/>
          <w:szCs w:val="32"/>
        </w:rPr>
        <w:t>月</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35393790"/>
      <w:bookmarkStart w:id="2" w:name="_Toc28359002"/>
      <w:bookmarkStart w:id="3" w:name="_Toc28359079"/>
      <w:bookmarkStart w:id="4" w:name="_Toc35393621"/>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2024年临江公司地下水检测井服务采购项目</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5"/>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202403022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eastAsia" w:cs="仿宋" w:asciiTheme="minorEastAsia" w:hAnsiTheme="minorEastAsia"/>
          <w:color w:val="auto"/>
          <w:sz w:val="24"/>
          <w:u w:val="single"/>
          <w:lang w:val="en-US" w:eastAsia="zh-CN"/>
        </w:rPr>
        <w:t>2024年临江公司地下水检测井服务采购项目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lang w:val="en-US" w:eastAsia="zh-CN"/>
        </w:rPr>
        <w:t>75000元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highlight w:val="none"/>
          <w:lang w:val="en-US" w:eastAsia="zh-CN"/>
        </w:rPr>
        <w:t xml:space="preserve"> 为排查临江公司厂区地下水环境质量，掌握地下水污染物的变化规律，加强对厂区重点防渗区地下水质量监测备案工作，需在能源、三固事业部厂区内新增14个地下水监测井（永久井）并进行采样检测，</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合同签订起至完成地下水建井并采样分析出具报告为止。</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35393622"/>
      <w:bookmarkStart w:id="8" w:name="_Toc28359080"/>
      <w:bookmarkStart w:id="9" w:name="_Toc35393791"/>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35393623"/>
      <w:bookmarkStart w:id="11" w:name="_Toc35393792"/>
      <w:bookmarkStart w:id="12" w:name="_Toc28359004"/>
      <w:bookmarkStart w:id="13" w:name="_Toc2835908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w:t>
      </w:r>
      <w:r>
        <w:rPr>
          <w:rFonts w:hint="eastAsia" w:cs="仿宋" w:asciiTheme="minorEastAsia" w:hAnsiTheme="minorEastAsia"/>
          <w:bCs/>
          <w:color w:val="auto"/>
          <w:sz w:val="24"/>
          <w:lang w:val="en-US" w:eastAsia="zh-CN"/>
        </w:rPr>
        <w:t>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3.</w:t>
      </w:r>
      <w:r>
        <w:rPr>
          <w:rFonts w:hint="eastAsia" w:cs="仿宋" w:asciiTheme="minorEastAsia" w:hAnsiTheme="minorEastAsia"/>
          <w:bCs/>
          <w:color w:val="auto"/>
          <w:sz w:val="24"/>
          <w:highlight w:val="none"/>
          <w:lang w:eastAsia="zh-CN"/>
        </w:rPr>
        <w:t>业绩要求：</w:t>
      </w:r>
      <w:r>
        <w:rPr>
          <w:rFonts w:hint="eastAsia" w:cs="仿宋" w:asciiTheme="minorEastAsia" w:hAnsiTheme="minorEastAsia"/>
          <w:bCs/>
          <w:color w:val="auto"/>
          <w:sz w:val="24"/>
          <w:highlight w:val="none"/>
          <w:u w:val="single"/>
          <w:lang w:val="en-US" w:eastAsia="zh-CN"/>
        </w:rPr>
        <w:t>/</w:t>
      </w:r>
      <w:r>
        <w:rPr>
          <w:rFonts w:hint="eastAsia" w:cs="仿宋" w:asciiTheme="minorEastAsia" w:hAnsiTheme="minorEastAsia"/>
          <w:bCs/>
          <w:color w:val="auto"/>
          <w:sz w:val="24"/>
          <w:highlight w:val="none"/>
          <w:u w:val="singl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lang w:val="en-US" w:eastAsia="zh-CN"/>
        </w:rPr>
        <w:t>4.供应商须有CMA资质证书；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5</w:t>
      </w:r>
      <w:r>
        <w:rPr>
          <w:rFonts w:hint="eastAsia" w:cs="仿宋" w:asciiTheme="minorEastAsia" w:hAnsiTheme="minorEastAsia"/>
          <w:bCs/>
          <w:color w:val="auto"/>
          <w:sz w:val="24"/>
        </w:rPr>
        <w:t>.供应商不得为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6</w:t>
      </w:r>
      <w:r>
        <w:rPr>
          <w:rFonts w:hint="eastAsia" w:cs="仿宋" w:asciiTheme="minorEastAsia" w:hAnsiTheme="minorEastAsia"/>
          <w:bCs/>
          <w:color w:val="auto"/>
          <w:sz w:val="24"/>
        </w:rPr>
        <w:t xml:space="preserve">.供应商负责人为同一人或者存在控股、管理关系的不同单位，不得同时参加本项目。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7</w:t>
      </w:r>
      <w:r>
        <w:rPr>
          <w:rFonts w:hint="eastAsia" w:cs="仿宋" w:asciiTheme="minorEastAsia" w:hAnsiTheme="minorEastAsia"/>
          <w:bCs/>
          <w:color w:val="auto"/>
          <w:sz w:val="24"/>
        </w:rPr>
        <w:t>.供应商须提供其股东信息及出资比例信息。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eastAsia" w:cs="仿宋" w:asciiTheme="minorEastAsia" w:hAnsiTheme="minorEastAsia"/>
          <w:bCs/>
          <w:color w:val="auto"/>
          <w:sz w:val="24"/>
          <w:lang w:val="en-US" w:eastAsia="zh-CN"/>
        </w:rPr>
        <w:t>8</w:t>
      </w:r>
      <w:r>
        <w:rPr>
          <w:rFonts w:hint="default" w:cs="仿宋" w:asciiTheme="minorEastAsia" w:hAnsiTheme="minorEastAsia"/>
          <w:bCs/>
          <w:color w:val="auto"/>
          <w:sz w:val="24"/>
          <w:lang w:val="en-US"/>
        </w:rPr>
        <w:t>.</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无</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35393793"/>
      <w:bookmarkStart w:id="15" w:name="_Toc28359005"/>
      <w:bookmarkStart w:id="16" w:name="_Toc35393624"/>
      <w:bookmarkStart w:id="17" w:name="_Toc28359082"/>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27</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年</w:t>
      </w:r>
      <w:r>
        <w:rPr>
          <w:rFonts w:hint="eastAsia" w:cs="仿宋" w:asciiTheme="minorEastAsia" w:hAnsiTheme="minorEastAsia"/>
          <w:bCs/>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27</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 xml:space="preserve">胡工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15700099079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5280" w:firstLineChars="22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6480" w:firstLineChars="27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w:t>
      </w:r>
      <w:r>
        <w:rPr>
          <w:rFonts w:hint="default" w:cs="仿宋" w:asciiTheme="minorEastAsia" w:hAnsiTheme="minorEastAsia"/>
          <w:color w:val="auto"/>
          <w:sz w:val="24"/>
          <w:lang w:val="en-US"/>
        </w:rPr>
        <w:t>年</w:t>
      </w:r>
      <w:r>
        <w:rPr>
          <w:rFonts w:hint="eastAsia" w:cs="仿宋" w:asciiTheme="minorEastAsia" w:hAnsiTheme="minorEastAsia"/>
          <w:color w:val="auto"/>
          <w:sz w:val="24"/>
          <w:lang w:val="en-US" w:eastAsia="zh-CN"/>
        </w:rPr>
        <w:t>3月18</w:t>
      </w:r>
      <w:bookmarkStart w:id="496" w:name="_GoBack"/>
      <w:bookmarkEnd w:id="496"/>
      <w:r>
        <w:rPr>
          <w:rFonts w:hint="eastAsia" w:cs="仿宋" w:asciiTheme="minorEastAsia" w:hAnsiTheme="minorEastAsia"/>
          <w:color w:val="auto"/>
          <w:sz w:val="24"/>
        </w:rPr>
        <w:t>日</w:t>
      </w:r>
    </w:p>
    <w:p>
      <w:pPr>
        <w:spacing w:line="460" w:lineRule="exact"/>
        <w:jc w:val="center"/>
        <w:rPr>
          <w:rFonts w:hint="eastAsia" w:cs="仿宋" w:asciiTheme="minorEastAsia" w:hAnsiTheme="minorEastAsia"/>
          <w:b/>
          <w:bCs/>
          <w:color w:val="auto"/>
          <w:sz w:val="36"/>
          <w:szCs w:val="36"/>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前以电汇或网银转账方式缴纳至杭州临江环境能源有限公司。同时将银行缴款凭证复印件作为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9"/>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3"/>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9"/>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9"/>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9"/>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8"/>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8"/>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8"/>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8"/>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3"/>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8"/>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9"/>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3"/>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yellow"/>
          <w:lang w:val="en-US" w:eastAsia="zh-CN"/>
        </w:rPr>
      </w:pPr>
      <w:r>
        <w:rPr>
          <w:rFonts w:hint="eastAsia" w:hAnsi="宋体" w:cs="宋体"/>
          <w:bCs/>
          <w:color w:val="auto"/>
          <w:sz w:val="24"/>
          <w:highlight w:val="none"/>
          <w:lang w:val="en-US" w:eastAsia="zh-CN"/>
        </w:rPr>
        <w:t>为排查临江公司厂区地下水环境质量，掌握地下水污染物的变化规律，加强对厂区重点防渗区地下水质量监测备案工作，需在能源、三固事业部厂区内新增14个地下水监测井（永久井）并进行采样检测。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none"/>
          <w:lang w:val="en-US" w:eastAsia="zh-CN"/>
        </w:rPr>
      </w:pPr>
      <w:r>
        <w:rPr>
          <w:rFonts w:hint="eastAsia" w:hAnsi="宋体" w:cs="宋体" w:asciiTheme="minorHAnsi" w:eastAsiaTheme="minorEastAsia"/>
          <w:bCs/>
          <w:snapToGrid/>
          <w:color w:val="auto"/>
          <w:kern w:val="2"/>
          <w:sz w:val="24"/>
          <w:szCs w:val="24"/>
          <w:highlight w:val="none"/>
          <w:lang w:val="en-US" w:eastAsia="zh-CN" w:bidi="ar-SA"/>
        </w:rPr>
        <w:t>采样检测项目：pH、氨氮、硝酸盐、亚硝酸盐、挥发性酚类、氰化物、耗氧量、铁、锰、镍、锌、铜、镉、铅、汞、砷、锑、锡、六价铬、氟化物、溶解性总固体、总硬度、氯化物、硫酸盐、细菌总数、总大肠菌群</w:t>
      </w:r>
      <w:r>
        <w:rPr>
          <w:rFonts w:hint="eastAsia" w:hAnsi="宋体" w:cs="宋体" w:asciiTheme="minorHAnsi"/>
          <w:bCs/>
          <w:snapToGrid/>
          <w:color w:val="auto"/>
          <w:kern w:val="2"/>
          <w:sz w:val="24"/>
          <w:szCs w:val="24"/>
          <w:highlight w:val="none"/>
          <w:lang w:val="en-US" w:eastAsia="zh-CN" w:bidi="ar-SA"/>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none"/>
          <w:lang w:val="en-US" w:eastAsia="zh-CN"/>
        </w:rPr>
      </w:pPr>
      <w:r>
        <w:rPr>
          <w:rFonts w:hint="eastAsia" w:hAnsi="宋体" w:cs="宋体"/>
          <w:bCs/>
          <w:color w:val="auto"/>
          <w:sz w:val="24"/>
          <w:highlight w:val="none"/>
          <w:lang w:val="en-US" w:eastAsia="zh-CN"/>
        </w:rPr>
        <w:t>能源事业部：本次主要包括地下水监测共布置9个地下水监测点，每个点位建井尺寸为DN200、深度为12米，并各取1个样品进行实验室分析出具报告。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hAnsi="宋体" w:cs="宋体"/>
          <w:bCs/>
          <w:color w:val="auto"/>
          <w:sz w:val="24"/>
          <w:highlight w:val="none"/>
          <w:lang w:val="en-US" w:eastAsia="zh-CN"/>
        </w:rPr>
        <w:t>三固事业部：本次主要包括地下水监测共布置5个地下水监测点，每个点位建井尺寸为DN100、深度为12米，并各取1个样品进行实验室分析出具报告。</w:t>
      </w:r>
    </w:p>
    <w:p>
      <w:pPr>
        <w:pStyle w:val="3"/>
        <w:numPr>
          <w:ilvl w:val="0"/>
          <w:numId w:val="0"/>
        </w:numPr>
        <w:ind w:firstLine="482" w:firstLineChars="200"/>
        <w:rPr>
          <w:rFonts w:hint="default"/>
          <w:color w:val="auto"/>
          <w:lang w:val="en-US" w:eastAsia="zh-CN"/>
        </w:rPr>
      </w:pPr>
      <w:r>
        <w:rPr>
          <w:rFonts w:hint="eastAsia"/>
          <w:b/>
          <w:bCs/>
          <w:color w:val="auto"/>
          <w:lang w:val="en-US" w:eastAsia="zh-CN"/>
        </w:rPr>
        <w:t>二、合同期限</w:t>
      </w:r>
      <w:r>
        <w:rPr>
          <w:rFonts w:hint="eastAsia"/>
          <w:color w:val="auto"/>
          <w:lang w:val="en-US" w:eastAsia="zh-CN"/>
        </w:rPr>
        <w:t>：</w:t>
      </w:r>
      <w:r>
        <w:rPr>
          <w:rFonts w:hint="eastAsia" w:cs="仿宋" w:asciiTheme="minorEastAsia" w:hAnsiTheme="minorEastAsia"/>
          <w:color w:val="auto"/>
          <w:sz w:val="24"/>
          <w:u w:val="none"/>
          <w:lang w:val="en-US" w:eastAsia="zh-CN"/>
        </w:rPr>
        <w:t>合同签订起至完成地下水建井并采样分析出具报告为止</w:t>
      </w:r>
      <w:r>
        <w:rPr>
          <w:rFonts w:hint="eastAsia"/>
          <w:color w:val="auto"/>
          <w:lang w:val="en-US" w:eastAsia="zh-CN"/>
        </w:rPr>
        <w:t>。</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三、服务要求</w:t>
      </w:r>
    </w:p>
    <w:p>
      <w:pPr>
        <w:pStyle w:val="3"/>
        <w:numPr>
          <w:ilvl w:val="0"/>
          <w:numId w:val="0"/>
        </w:numPr>
        <w:ind w:firstLine="480" w:firstLineChars="200"/>
        <w:rPr>
          <w:rFonts w:hint="eastAsia"/>
          <w:color w:val="auto"/>
          <w:lang w:val="en-US" w:eastAsia="zh-CN"/>
        </w:rPr>
      </w:pPr>
      <w:r>
        <w:rPr>
          <w:rFonts w:hint="eastAsia"/>
          <w:color w:val="auto"/>
          <w:lang w:val="en-US" w:eastAsia="zh-CN"/>
        </w:rPr>
        <w:t>1.供应商根据采购人指定时间和地点按规范要求进行打井、采样、检测，并出具合规的正式检测报告。</w:t>
      </w:r>
    </w:p>
    <w:p>
      <w:pPr>
        <w:pStyle w:val="3"/>
        <w:numPr>
          <w:ilvl w:val="0"/>
          <w:numId w:val="0"/>
        </w:numPr>
        <w:ind w:firstLine="480" w:firstLineChars="200"/>
        <w:rPr>
          <w:rFonts w:hint="default" w:ascii="宋体"/>
          <w:color w:val="auto"/>
          <w:lang w:val="en-US" w:eastAsia="zh-CN"/>
        </w:rPr>
      </w:pPr>
      <w:r>
        <w:rPr>
          <w:rFonts w:hint="eastAsia"/>
          <w:color w:val="auto"/>
          <w:lang w:val="en-US" w:eastAsia="zh-CN"/>
        </w:rPr>
        <w:t>2.对14个地下水监测点进行一次采样检测，每个监测点出具一份检测报告。</w:t>
      </w:r>
    </w:p>
    <w:p>
      <w:pPr>
        <w:pStyle w:val="3"/>
        <w:numPr>
          <w:ilvl w:val="0"/>
          <w:numId w:val="0"/>
        </w:numPr>
        <w:ind w:firstLine="480" w:firstLineChars="200"/>
        <w:rPr>
          <w:rFonts w:hint="eastAsia" w:ascii="宋体"/>
          <w:color w:val="auto"/>
          <w:lang w:val="en-US" w:eastAsia="zh-CN"/>
        </w:rPr>
      </w:pPr>
      <w:r>
        <w:rPr>
          <w:rFonts w:hint="eastAsia"/>
          <w:color w:val="auto"/>
          <w:lang w:val="en-US" w:eastAsia="zh-CN"/>
        </w:rPr>
        <w:t>3</w:t>
      </w:r>
      <w:r>
        <w:rPr>
          <w:rFonts w:hint="eastAsia" w:ascii="宋体"/>
          <w:color w:val="auto"/>
          <w:lang w:val="en-US" w:eastAsia="zh-CN"/>
        </w:rPr>
        <w:t>.采样后应在7个工作日内提供相应数据经双方确认无误后3个工作日内出具正式电子报告,正式电子报告出具后及时将盖有CMA章的纸质检测报告送达至采购人公司地址。</w:t>
      </w:r>
    </w:p>
    <w:p>
      <w:pPr>
        <w:pStyle w:val="3"/>
        <w:numPr>
          <w:ilvl w:val="0"/>
          <w:numId w:val="0"/>
        </w:numPr>
        <w:ind w:firstLine="482" w:firstLineChars="200"/>
        <w:rPr>
          <w:rFonts w:hint="eastAsia"/>
          <w:b/>
          <w:bCs/>
          <w:color w:val="auto"/>
          <w:lang w:val="en-US" w:eastAsia="zh-CN"/>
        </w:rPr>
      </w:pP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2"/>
        <w:numPr>
          <w:ilvl w:val="0"/>
          <w:numId w:val="0"/>
        </w:numPr>
        <w:ind w:firstLine="480" w:firstLineChars="200"/>
        <w:rPr>
          <w:rFonts w:hint="eastAsia"/>
          <w:color w:val="auto"/>
          <w:lang w:val="en-US" w:eastAsia="zh-CN"/>
        </w:rPr>
      </w:pPr>
      <w:r>
        <w:rPr>
          <w:rFonts w:hint="eastAsia"/>
          <w:color w:val="auto"/>
          <w:lang w:val="en-US" w:eastAsia="zh-CN"/>
        </w:rPr>
        <w:t>1.检测井建井位置、尺寸等要求需按照采购人需求进行，并经采购人验收合格为止。</w:t>
      </w:r>
    </w:p>
    <w:p>
      <w:pPr>
        <w:pStyle w:val="2"/>
        <w:numPr>
          <w:ilvl w:val="0"/>
          <w:numId w:val="0"/>
        </w:numPr>
        <w:ind w:firstLine="480" w:firstLineChars="200"/>
        <w:rPr>
          <w:rFonts w:hint="eastAsia"/>
          <w:color w:val="auto"/>
          <w:lang w:val="en-US" w:eastAsia="zh-CN"/>
        </w:rPr>
      </w:pPr>
      <w:r>
        <w:rPr>
          <w:rFonts w:hint="eastAsia"/>
          <w:color w:val="auto"/>
          <w:lang w:val="en-US" w:eastAsia="zh-CN"/>
        </w:rPr>
        <w:t>2.提供14份纸质检测报告，检测报告经双方确认并需盖CMA章。</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五、结算方式</w:t>
      </w:r>
    </w:p>
    <w:p>
      <w:pPr>
        <w:pStyle w:val="2"/>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3"/>
        <w:numPr>
          <w:ilvl w:val="0"/>
          <w:numId w:val="0"/>
        </w:numPr>
        <w:ind w:firstLine="480" w:firstLineChars="200"/>
        <w:rPr>
          <w:rFonts w:hint="eastAsia"/>
          <w:color w:val="auto"/>
          <w:lang w:val="en-US" w:eastAsia="zh-CN"/>
        </w:rPr>
      </w:pPr>
      <w:r>
        <w:rPr>
          <w:rFonts w:hint="eastAsia"/>
          <w:color w:val="auto"/>
          <w:lang w:val="en-US" w:eastAsia="zh-CN"/>
        </w:rPr>
        <w:t>1.</w:t>
      </w:r>
      <w:r>
        <w:rPr>
          <w:rFonts w:hint="eastAsia"/>
          <w:color w:val="333333"/>
          <w:spacing w:val="12"/>
          <w:lang w:val="en-US" w:eastAsia="zh-CN"/>
        </w:rPr>
        <w:t>供应商</w:t>
      </w:r>
      <w:r>
        <w:rPr>
          <w:color w:val="333333"/>
          <w:spacing w:val="12"/>
        </w:rPr>
        <w:t>提供的所有业务技术资料、文档,有责任对第三方保密；</w:t>
      </w:r>
    </w:p>
    <w:p>
      <w:pPr>
        <w:pStyle w:val="3"/>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12"/>
        <w:rPr>
          <w:rFonts w:hint="eastAsia"/>
          <w:color w:val="auto"/>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08066"/>
      <w:bookmarkEnd w:id="19"/>
      <w:bookmarkStart w:id="20" w:name="_Toc184310294"/>
      <w:bookmarkEnd w:id="20"/>
      <w:bookmarkStart w:id="21" w:name="_Toc184310296"/>
      <w:bookmarkEnd w:id="21"/>
      <w:bookmarkStart w:id="22" w:name="_Toc184313288"/>
      <w:bookmarkEnd w:id="22"/>
      <w:bookmarkStart w:id="23" w:name="_Toc184312131"/>
      <w:bookmarkEnd w:id="23"/>
      <w:bookmarkStart w:id="24" w:name="_Toc184313310"/>
      <w:bookmarkEnd w:id="24"/>
      <w:bookmarkStart w:id="25" w:name="_Toc184313299"/>
      <w:bookmarkEnd w:id="25"/>
      <w:bookmarkStart w:id="26" w:name="_Toc184314464"/>
      <w:bookmarkEnd w:id="26"/>
      <w:bookmarkStart w:id="27" w:name="_Toc184310317"/>
      <w:bookmarkEnd w:id="27"/>
      <w:bookmarkStart w:id="28" w:name="_Toc184308044"/>
      <w:bookmarkEnd w:id="28"/>
      <w:bookmarkStart w:id="29" w:name="_Toc184314434"/>
      <w:bookmarkEnd w:id="29"/>
      <w:bookmarkStart w:id="30" w:name="_Toc184310308"/>
      <w:bookmarkEnd w:id="30"/>
      <w:bookmarkStart w:id="31" w:name="_Toc184312129"/>
      <w:bookmarkEnd w:id="31"/>
      <w:bookmarkStart w:id="32" w:name="_Toc184312113"/>
      <w:bookmarkEnd w:id="32"/>
      <w:bookmarkStart w:id="33" w:name="_Toc184314476"/>
      <w:bookmarkEnd w:id="33"/>
      <w:bookmarkStart w:id="34" w:name="_Toc184314449"/>
      <w:bookmarkEnd w:id="34"/>
      <w:bookmarkStart w:id="35" w:name="_Toc184312081"/>
      <w:bookmarkEnd w:id="35"/>
      <w:bookmarkStart w:id="36" w:name="_Toc184314477"/>
      <w:bookmarkEnd w:id="36"/>
      <w:bookmarkStart w:id="37" w:name="_Toc184312079"/>
      <w:bookmarkEnd w:id="37"/>
      <w:bookmarkStart w:id="38" w:name="_Toc184313304"/>
      <w:bookmarkEnd w:id="38"/>
      <w:bookmarkStart w:id="39" w:name="_Toc184308071"/>
      <w:bookmarkEnd w:id="39"/>
      <w:bookmarkStart w:id="40" w:name="_Toc184312087"/>
      <w:bookmarkEnd w:id="40"/>
      <w:bookmarkStart w:id="41" w:name="_Toc184314424"/>
      <w:bookmarkEnd w:id="41"/>
      <w:bookmarkStart w:id="42" w:name="_Toc184310315"/>
      <w:bookmarkEnd w:id="42"/>
      <w:bookmarkStart w:id="43" w:name="_Toc184313287"/>
      <w:bookmarkEnd w:id="43"/>
      <w:bookmarkStart w:id="44" w:name="_Toc184314429"/>
      <w:bookmarkEnd w:id="44"/>
      <w:bookmarkStart w:id="45" w:name="_Toc184308065"/>
      <w:bookmarkEnd w:id="45"/>
      <w:bookmarkStart w:id="46" w:name="_Toc184314411"/>
      <w:bookmarkEnd w:id="46"/>
      <w:bookmarkStart w:id="47" w:name="_Toc184314412"/>
      <w:bookmarkEnd w:id="47"/>
      <w:bookmarkStart w:id="48" w:name="_Toc184308054"/>
      <w:bookmarkEnd w:id="48"/>
      <w:bookmarkStart w:id="49" w:name="_Toc184314463"/>
      <w:bookmarkEnd w:id="49"/>
      <w:bookmarkStart w:id="50" w:name="_Toc184308081"/>
      <w:bookmarkEnd w:id="50"/>
      <w:bookmarkStart w:id="51" w:name="_Toc184314436"/>
      <w:bookmarkEnd w:id="51"/>
      <w:bookmarkStart w:id="52" w:name="_Toc184313249"/>
      <w:bookmarkEnd w:id="52"/>
      <w:bookmarkStart w:id="53" w:name="_Toc184314440"/>
      <w:bookmarkEnd w:id="53"/>
      <w:bookmarkStart w:id="54" w:name="_Toc184314447"/>
      <w:bookmarkEnd w:id="54"/>
      <w:bookmarkStart w:id="55" w:name="_Toc184308094"/>
      <w:bookmarkEnd w:id="55"/>
      <w:bookmarkStart w:id="56" w:name="_Toc184314475"/>
      <w:bookmarkEnd w:id="56"/>
      <w:bookmarkStart w:id="57" w:name="_Toc184308041"/>
      <w:bookmarkEnd w:id="57"/>
      <w:bookmarkStart w:id="58" w:name="_Toc184310292"/>
      <w:bookmarkEnd w:id="58"/>
      <w:bookmarkStart w:id="59" w:name="_Toc184308083"/>
      <w:bookmarkEnd w:id="59"/>
      <w:bookmarkStart w:id="60" w:name="_Toc184312089"/>
      <w:bookmarkEnd w:id="60"/>
      <w:bookmarkStart w:id="61" w:name="_Toc184313297"/>
      <w:bookmarkEnd w:id="61"/>
      <w:bookmarkStart w:id="62" w:name="_Toc184314478"/>
      <w:bookmarkEnd w:id="62"/>
      <w:bookmarkStart w:id="63" w:name="_Toc184312090"/>
      <w:bookmarkEnd w:id="63"/>
      <w:bookmarkStart w:id="64" w:name="_Toc184313308"/>
      <w:bookmarkEnd w:id="64"/>
      <w:bookmarkStart w:id="65" w:name="_Toc184314461"/>
      <w:bookmarkEnd w:id="65"/>
      <w:bookmarkStart w:id="66" w:name="_Toc184313239"/>
      <w:bookmarkEnd w:id="66"/>
      <w:bookmarkStart w:id="67" w:name="_Toc184312071"/>
      <w:bookmarkEnd w:id="67"/>
      <w:bookmarkStart w:id="68" w:name="_Toc184308067"/>
      <w:bookmarkEnd w:id="68"/>
      <w:bookmarkStart w:id="69" w:name="_Toc184310280"/>
      <w:bookmarkEnd w:id="69"/>
      <w:bookmarkStart w:id="70" w:name="_Toc184312073"/>
      <w:bookmarkEnd w:id="70"/>
      <w:bookmarkStart w:id="71" w:name="_Toc184310283"/>
      <w:bookmarkEnd w:id="71"/>
      <w:bookmarkStart w:id="72" w:name="_Toc184308078"/>
      <w:bookmarkEnd w:id="72"/>
      <w:bookmarkStart w:id="73" w:name="_Toc184312112"/>
      <w:bookmarkEnd w:id="73"/>
      <w:bookmarkStart w:id="74" w:name="_Toc184312123"/>
      <w:bookmarkEnd w:id="74"/>
      <w:bookmarkStart w:id="75" w:name="_Toc184313258"/>
      <w:bookmarkEnd w:id="75"/>
      <w:bookmarkStart w:id="76" w:name="_Toc184308063"/>
      <w:bookmarkEnd w:id="76"/>
      <w:bookmarkStart w:id="77" w:name="_Toc184310289"/>
      <w:bookmarkEnd w:id="77"/>
      <w:bookmarkStart w:id="78" w:name="_Toc184308051"/>
      <w:bookmarkEnd w:id="78"/>
      <w:bookmarkStart w:id="79" w:name="_Toc184313270"/>
      <w:bookmarkEnd w:id="79"/>
      <w:bookmarkStart w:id="80" w:name="_Toc184310279"/>
      <w:bookmarkEnd w:id="80"/>
      <w:bookmarkStart w:id="81" w:name="_Toc184308049"/>
      <w:bookmarkEnd w:id="81"/>
      <w:bookmarkStart w:id="82" w:name="_Toc184314413"/>
      <w:bookmarkEnd w:id="82"/>
      <w:bookmarkStart w:id="83" w:name="_Toc184312120"/>
      <w:bookmarkEnd w:id="83"/>
      <w:bookmarkStart w:id="84" w:name="_Toc184312088"/>
      <w:bookmarkEnd w:id="84"/>
      <w:bookmarkStart w:id="85" w:name="_Toc184314418"/>
      <w:bookmarkEnd w:id="85"/>
      <w:bookmarkStart w:id="86" w:name="_Toc184314460"/>
      <w:bookmarkEnd w:id="86"/>
      <w:bookmarkStart w:id="87" w:name="_Toc184314428"/>
      <w:bookmarkEnd w:id="87"/>
      <w:bookmarkStart w:id="88" w:name="_Toc184313289"/>
      <w:bookmarkEnd w:id="88"/>
      <w:bookmarkStart w:id="89" w:name="_Toc184308080"/>
      <w:bookmarkEnd w:id="89"/>
      <w:bookmarkStart w:id="90" w:name="_Toc184312128"/>
      <w:bookmarkEnd w:id="90"/>
      <w:bookmarkStart w:id="91" w:name="_Toc184314465"/>
      <w:bookmarkEnd w:id="91"/>
      <w:bookmarkStart w:id="92" w:name="_Toc184308088"/>
      <w:bookmarkEnd w:id="92"/>
      <w:bookmarkStart w:id="93" w:name="_Toc184313256"/>
      <w:bookmarkEnd w:id="93"/>
      <w:bookmarkStart w:id="94" w:name="_Toc184312132"/>
      <w:bookmarkEnd w:id="94"/>
      <w:bookmarkStart w:id="95" w:name="_Toc184308037"/>
      <w:bookmarkEnd w:id="95"/>
      <w:bookmarkStart w:id="96" w:name="_Toc184312138"/>
      <w:bookmarkEnd w:id="96"/>
      <w:bookmarkStart w:id="97" w:name="_Toc184310297"/>
      <w:bookmarkEnd w:id="97"/>
      <w:bookmarkStart w:id="98" w:name="_Toc184310278"/>
      <w:bookmarkEnd w:id="98"/>
      <w:bookmarkStart w:id="99" w:name="_Toc184312098"/>
      <w:bookmarkEnd w:id="99"/>
      <w:bookmarkStart w:id="100" w:name="_Toc184314459"/>
      <w:bookmarkEnd w:id="100"/>
      <w:bookmarkStart w:id="101" w:name="_Toc184313272"/>
      <w:bookmarkEnd w:id="101"/>
      <w:bookmarkStart w:id="102" w:name="_Toc184313267"/>
      <w:bookmarkEnd w:id="102"/>
      <w:bookmarkStart w:id="103" w:name="_Toc184314450"/>
      <w:bookmarkEnd w:id="103"/>
      <w:bookmarkStart w:id="104" w:name="_Toc184308069"/>
      <w:bookmarkEnd w:id="104"/>
      <w:bookmarkStart w:id="105" w:name="_Toc184313281"/>
      <w:bookmarkEnd w:id="105"/>
      <w:bookmarkStart w:id="106" w:name="_Toc184308048"/>
      <w:bookmarkEnd w:id="106"/>
      <w:bookmarkStart w:id="107" w:name="_Toc184308053"/>
      <w:bookmarkEnd w:id="107"/>
      <w:bookmarkStart w:id="108" w:name="_Toc184308097"/>
      <w:bookmarkEnd w:id="108"/>
      <w:bookmarkStart w:id="109" w:name="_Toc184308108"/>
      <w:bookmarkEnd w:id="109"/>
      <w:bookmarkStart w:id="110" w:name="_Toc184310314"/>
      <w:bookmarkEnd w:id="110"/>
      <w:bookmarkStart w:id="111" w:name="_Toc184312096"/>
      <w:bookmarkEnd w:id="111"/>
      <w:bookmarkStart w:id="112" w:name="_Toc184308060"/>
      <w:bookmarkEnd w:id="112"/>
      <w:bookmarkStart w:id="113" w:name="_Toc184314414"/>
      <w:bookmarkEnd w:id="113"/>
      <w:bookmarkStart w:id="114" w:name="_Toc184308058"/>
      <w:bookmarkEnd w:id="114"/>
      <w:bookmarkStart w:id="115" w:name="_Toc184310332"/>
      <w:bookmarkEnd w:id="115"/>
      <w:bookmarkStart w:id="116" w:name="_Toc184310325"/>
      <w:bookmarkEnd w:id="116"/>
      <w:bookmarkStart w:id="117" w:name="_Toc184314457"/>
      <w:bookmarkEnd w:id="117"/>
      <w:bookmarkStart w:id="118" w:name="_Toc184310318"/>
      <w:bookmarkEnd w:id="118"/>
      <w:bookmarkStart w:id="119" w:name="_Toc184310273"/>
      <w:bookmarkEnd w:id="119"/>
      <w:bookmarkStart w:id="120" w:name="_Toc184312133"/>
      <w:bookmarkEnd w:id="120"/>
      <w:bookmarkStart w:id="121" w:name="_Toc184310326"/>
      <w:bookmarkEnd w:id="121"/>
      <w:bookmarkStart w:id="122" w:name="_Toc184308085"/>
      <w:bookmarkEnd w:id="122"/>
      <w:bookmarkStart w:id="123" w:name="_Toc184313264"/>
      <w:bookmarkEnd w:id="123"/>
      <w:bookmarkStart w:id="124" w:name="_Toc184312084"/>
      <w:bookmarkEnd w:id="124"/>
      <w:bookmarkStart w:id="125" w:name="_Toc184310299"/>
      <w:bookmarkEnd w:id="125"/>
      <w:bookmarkStart w:id="126" w:name="_Toc184312134"/>
      <w:bookmarkEnd w:id="126"/>
      <w:bookmarkStart w:id="127" w:name="_Toc184312102"/>
      <w:bookmarkEnd w:id="127"/>
      <w:bookmarkStart w:id="128" w:name="_Toc184313303"/>
      <w:bookmarkEnd w:id="128"/>
      <w:bookmarkStart w:id="129" w:name="_Toc184308086"/>
      <w:bookmarkEnd w:id="129"/>
      <w:bookmarkStart w:id="130" w:name="_Toc184310340"/>
      <w:bookmarkEnd w:id="130"/>
      <w:bookmarkStart w:id="131" w:name="_Toc184313306"/>
      <w:bookmarkEnd w:id="131"/>
      <w:bookmarkStart w:id="132" w:name="_Toc184312094"/>
      <w:bookmarkEnd w:id="132"/>
      <w:bookmarkStart w:id="133" w:name="_Toc184314437"/>
      <w:bookmarkEnd w:id="133"/>
      <w:bookmarkStart w:id="134" w:name="_Toc184312124"/>
      <w:bookmarkEnd w:id="134"/>
      <w:bookmarkStart w:id="135" w:name="_Toc184308070"/>
      <w:bookmarkEnd w:id="135"/>
      <w:bookmarkStart w:id="136" w:name="_Toc184313282"/>
      <w:bookmarkEnd w:id="136"/>
      <w:bookmarkStart w:id="137" w:name="_Toc184313295"/>
      <w:bookmarkEnd w:id="137"/>
      <w:bookmarkStart w:id="138" w:name="_Toc184314425"/>
      <w:bookmarkEnd w:id="138"/>
      <w:bookmarkStart w:id="139" w:name="_Toc184313298"/>
      <w:bookmarkEnd w:id="139"/>
      <w:bookmarkStart w:id="140" w:name="_Toc184313251"/>
      <w:bookmarkEnd w:id="140"/>
      <w:bookmarkStart w:id="141" w:name="_Toc184314467"/>
      <w:bookmarkEnd w:id="141"/>
      <w:bookmarkStart w:id="142" w:name="_Toc184312108"/>
      <w:bookmarkEnd w:id="142"/>
      <w:bookmarkStart w:id="143" w:name="_Toc184308062"/>
      <w:bookmarkEnd w:id="143"/>
      <w:bookmarkStart w:id="144" w:name="_Toc184310330"/>
      <w:bookmarkEnd w:id="144"/>
      <w:bookmarkStart w:id="145" w:name="_Toc184308091"/>
      <w:bookmarkEnd w:id="145"/>
      <w:bookmarkStart w:id="146" w:name="_Toc184310344"/>
      <w:bookmarkEnd w:id="146"/>
      <w:bookmarkStart w:id="147" w:name="_Toc184313253"/>
      <w:bookmarkEnd w:id="147"/>
      <w:bookmarkStart w:id="148" w:name="_Toc184310321"/>
      <w:bookmarkEnd w:id="148"/>
      <w:bookmarkStart w:id="149" w:name="_Toc184312114"/>
      <w:bookmarkEnd w:id="149"/>
      <w:bookmarkStart w:id="150" w:name="_Toc184313285"/>
      <w:bookmarkEnd w:id="150"/>
      <w:bookmarkStart w:id="151" w:name="_Toc184313300"/>
      <w:bookmarkEnd w:id="151"/>
      <w:bookmarkStart w:id="152" w:name="_Toc184310276"/>
      <w:bookmarkEnd w:id="152"/>
      <w:bookmarkStart w:id="153" w:name="_Toc184308084"/>
      <w:bookmarkEnd w:id="153"/>
      <w:bookmarkStart w:id="154" w:name="_Toc184310277"/>
      <w:bookmarkEnd w:id="154"/>
      <w:bookmarkStart w:id="155" w:name="_Toc184308101"/>
      <w:bookmarkEnd w:id="155"/>
      <w:bookmarkStart w:id="156" w:name="_Toc184314446"/>
      <w:bookmarkEnd w:id="156"/>
      <w:bookmarkStart w:id="157" w:name="_Toc184310311"/>
      <w:bookmarkEnd w:id="157"/>
      <w:bookmarkStart w:id="158" w:name="_Toc184310324"/>
      <w:bookmarkEnd w:id="158"/>
      <w:bookmarkStart w:id="159" w:name="_Toc184308096"/>
      <w:bookmarkEnd w:id="159"/>
      <w:bookmarkStart w:id="160" w:name="_Toc184310291"/>
      <w:bookmarkEnd w:id="160"/>
      <w:bookmarkStart w:id="161" w:name="_Toc184308089"/>
      <w:bookmarkEnd w:id="161"/>
      <w:bookmarkStart w:id="162" w:name="_Toc184314415"/>
      <w:bookmarkEnd w:id="162"/>
      <w:bookmarkStart w:id="163" w:name="_Toc184314448"/>
      <w:bookmarkEnd w:id="163"/>
      <w:bookmarkStart w:id="164" w:name="_Toc184312097"/>
      <w:bookmarkEnd w:id="164"/>
      <w:bookmarkStart w:id="165" w:name="_Toc184314472"/>
      <w:bookmarkEnd w:id="165"/>
      <w:bookmarkStart w:id="166" w:name="_Toc184310295"/>
      <w:bookmarkEnd w:id="166"/>
      <w:bookmarkStart w:id="167" w:name="_Toc184314482"/>
      <w:bookmarkEnd w:id="167"/>
      <w:bookmarkStart w:id="168" w:name="_Toc184314421"/>
      <w:bookmarkEnd w:id="168"/>
      <w:bookmarkStart w:id="169" w:name="_Toc184314479"/>
      <w:bookmarkEnd w:id="169"/>
      <w:bookmarkStart w:id="170" w:name="_Toc184312099"/>
      <w:bookmarkEnd w:id="170"/>
      <w:bookmarkStart w:id="171" w:name="_Toc184314419"/>
      <w:bookmarkEnd w:id="171"/>
      <w:bookmarkStart w:id="172" w:name="_Toc184314473"/>
      <w:bookmarkEnd w:id="172"/>
      <w:bookmarkStart w:id="173" w:name="_Toc184314445"/>
      <w:bookmarkEnd w:id="173"/>
      <w:bookmarkStart w:id="174" w:name="_Toc184308068"/>
      <w:bookmarkEnd w:id="174"/>
      <w:bookmarkStart w:id="175" w:name="_Toc184314431"/>
      <w:bookmarkEnd w:id="175"/>
      <w:bookmarkStart w:id="176" w:name="_Toc184308050"/>
      <w:bookmarkEnd w:id="176"/>
      <w:bookmarkStart w:id="177" w:name="_Toc184310313"/>
      <w:bookmarkEnd w:id="177"/>
      <w:bookmarkStart w:id="178" w:name="_Toc184310293"/>
      <w:bookmarkEnd w:id="178"/>
      <w:bookmarkStart w:id="179" w:name="_Toc184314439"/>
      <w:bookmarkEnd w:id="179"/>
      <w:bookmarkStart w:id="180" w:name="_Toc184310320"/>
      <w:bookmarkEnd w:id="180"/>
      <w:bookmarkStart w:id="181" w:name="_Toc184313265"/>
      <w:bookmarkEnd w:id="181"/>
      <w:bookmarkStart w:id="182" w:name="_Toc184310342"/>
      <w:bookmarkEnd w:id="182"/>
      <w:bookmarkStart w:id="183" w:name="_Toc184314455"/>
      <w:bookmarkEnd w:id="183"/>
      <w:bookmarkStart w:id="184" w:name="_Toc184313268"/>
      <w:bookmarkEnd w:id="184"/>
      <w:bookmarkStart w:id="185" w:name="_Toc184312125"/>
      <w:bookmarkEnd w:id="185"/>
      <w:bookmarkStart w:id="186" w:name="_Toc184313242"/>
      <w:bookmarkEnd w:id="186"/>
      <w:bookmarkStart w:id="187" w:name="_Toc184308079"/>
      <w:bookmarkEnd w:id="187"/>
      <w:bookmarkStart w:id="188" w:name="_Toc184314444"/>
      <w:bookmarkEnd w:id="188"/>
      <w:bookmarkStart w:id="189" w:name="_Toc184314432"/>
      <w:bookmarkEnd w:id="189"/>
      <w:bookmarkStart w:id="190" w:name="_Toc184312122"/>
      <w:bookmarkEnd w:id="190"/>
      <w:bookmarkStart w:id="191" w:name="_Toc184313291"/>
      <w:bookmarkEnd w:id="191"/>
      <w:bookmarkStart w:id="192" w:name="_Toc184308074"/>
      <w:bookmarkEnd w:id="192"/>
      <w:bookmarkStart w:id="193" w:name="_Toc184312100"/>
      <w:bookmarkEnd w:id="193"/>
      <w:bookmarkStart w:id="194" w:name="_Toc184314443"/>
      <w:bookmarkEnd w:id="194"/>
      <w:bookmarkStart w:id="195" w:name="_Toc184312070"/>
      <w:bookmarkEnd w:id="195"/>
      <w:bookmarkStart w:id="196" w:name="_Toc184310285"/>
      <w:bookmarkEnd w:id="196"/>
      <w:bookmarkStart w:id="197" w:name="_Toc184312127"/>
      <w:bookmarkEnd w:id="197"/>
      <w:bookmarkStart w:id="198" w:name="_Toc184308098"/>
      <w:bookmarkEnd w:id="198"/>
      <w:bookmarkStart w:id="199" w:name="_Toc184308039"/>
      <w:bookmarkEnd w:id="199"/>
      <w:bookmarkStart w:id="200" w:name="_Toc184314433"/>
      <w:bookmarkEnd w:id="200"/>
      <w:bookmarkStart w:id="201" w:name="_Toc184312118"/>
      <w:bookmarkEnd w:id="201"/>
      <w:bookmarkStart w:id="202" w:name="_Toc184308036"/>
      <w:bookmarkEnd w:id="202"/>
      <w:bookmarkStart w:id="203" w:name="_Toc184308056"/>
      <w:bookmarkEnd w:id="203"/>
      <w:bookmarkStart w:id="204" w:name="_Toc184313294"/>
      <w:bookmarkEnd w:id="204"/>
      <w:bookmarkStart w:id="205" w:name="_Toc184310309"/>
      <w:bookmarkEnd w:id="205"/>
      <w:bookmarkStart w:id="206" w:name="_Toc184313247"/>
      <w:bookmarkEnd w:id="206"/>
      <w:bookmarkStart w:id="207" w:name="_Toc184308043"/>
      <w:bookmarkEnd w:id="207"/>
      <w:bookmarkStart w:id="208" w:name="_Toc184313293"/>
      <w:bookmarkEnd w:id="208"/>
      <w:bookmarkStart w:id="209" w:name="_Toc184312076"/>
      <w:bookmarkEnd w:id="209"/>
      <w:bookmarkStart w:id="210" w:name="_Toc184312116"/>
      <w:bookmarkEnd w:id="210"/>
      <w:bookmarkStart w:id="211" w:name="_Toc184313274"/>
      <w:bookmarkEnd w:id="211"/>
      <w:bookmarkStart w:id="212" w:name="_Toc184312136"/>
      <w:bookmarkEnd w:id="212"/>
      <w:bookmarkStart w:id="213" w:name="_Toc184314456"/>
      <w:bookmarkEnd w:id="213"/>
      <w:bookmarkStart w:id="214" w:name="_Toc184308100"/>
      <w:bookmarkEnd w:id="214"/>
      <w:bookmarkStart w:id="215" w:name="_Toc184313263"/>
      <w:bookmarkEnd w:id="215"/>
      <w:bookmarkStart w:id="216" w:name="_Toc184313279"/>
      <w:bookmarkEnd w:id="216"/>
      <w:bookmarkStart w:id="217" w:name="_Toc184314430"/>
      <w:bookmarkEnd w:id="217"/>
      <w:bookmarkStart w:id="218" w:name="_Toc184312086"/>
      <w:bookmarkEnd w:id="218"/>
      <w:bookmarkStart w:id="219" w:name="_Toc184313290"/>
      <w:bookmarkEnd w:id="219"/>
      <w:bookmarkStart w:id="220" w:name="_Toc184310341"/>
      <w:bookmarkEnd w:id="220"/>
      <w:bookmarkStart w:id="221" w:name="_Toc184313296"/>
      <w:bookmarkEnd w:id="221"/>
      <w:bookmarkStart w:id="222" w:name="_Toc184313284"/>
      <w:bookmarkEnd w:id="222"/>
      <w:bookmarkStart w:id="223" w:name="_Toc184313305"/>
      <w:bookmarkEnd w:id="223"/>
      <w:bookmarkStart w:id="224" w:name="_Toc184313246"/>
      <w:bookmarkEnd w:id="224"/>
      <w:bookmarkStart w:id="225" w:name="_Toc184310322"/>
      <w:bookmarkEnd w:id="225"/>
      <w:bookmarkStart w:id="226" w:name="_Toc184312082"/>
      <w:bookmarkEnd w:id="226"/>
      <w:bookmarkStart w:id="227" w:name="_Toc184310338"/>
      <w:bookmarkEnd w:id="227"/>
      <w:bookmarkStart w:id="228" w:name="_Toc184310284"/>
      <w:bookmarkEnd w:id="228"/>
      <w:bookmarkStart w:id="229" w:name="_Toc184312105"/>
      <w:bookmarkEnd w:id="229"/>
      <w:bookmarkStart w:id="230" w:name="_Toc184314452"/>
      <w:bookmarkEnd w:id="230"/>
      <w:bookmarkStart w:id="231" w:name="_Toc184310329"/>
      <w:bookmarkEnd w:id="231"/>
      <w:bookmarkStart w:id="232" w:name="_Toc184312107"/>
      <w:bookmarkEnd w:id="232"/>
      <w:bookmarkStart w:id="233" w:name="_Toc184308057"/>
      <w:bookmarkEnd w:id="233"/>
      <w:bookmarkStart w:id="234" w:name="_Toc184313302"/>
      <w:bookmarkEnd w:id="234"/>
      <w:bookmarkStart w:id="235" w:name="_Toc184313261"/>
      <w:bookmarkEnd w:id="235"/>
      <w:bookmarkStart w:id="236" w:name="_Toc184313286"/>
      <w:bookmarkEnd w:id="236"/>
      <w:bookmarkStart w:id="237" w:name="_Toc184314416"/>
      <w:bookmarkEnd w:id="237"/>
      <w:bookmarkStart w:id="238" w:name="_Toc184312085"/>
      <w:bookmarkEnd w:id="238"/>
      <w:bookmarkStart w:id="239" w:name="_Toc184308075"/>
      <w:bookmarkEnd w:id="239"/>
      <w:bookmarkStart w:id="240" w:name="_Toc184313301"/>
      <w:bookmarkEnd w:id="240"/>
      <w:bookmarkStart w:id="241" w:name="_Toc184312080"/>
      <w:bookmarkEnd w:id="241"/>
      <w:bookmarkStart w:id="242" w:name="_Toc184310282"/>
      <w:bookmarkEnd w:id="242"/>
      <w:bookmarkStart w:id="243" w:name="_Toc184308105"/>
      <w:bookmarkEnd w:id="243"/>
      <w:bookmarkStart w:id="244" w:name="_Toc184312074"/>
      <w:bookmarkEnd w:id="244"/>
      <w:bookmarkStart w:id="245" w:name="_Toc184308042"/>
      <w:bookmarkEnd w:id="245"/>
      <w:bookmarkStart w:id="246" w:name="_Toc184313259"/>
      <w:bookmarkEnd w:id="246"/>
      <w:bookmarkStart w:id="247" w:name="_Toc184308077"/>
      <w:bookmarkEnd w:id="247"/>
      <w:bookmarkStart w:id="248" w:name="_Toc184310301"/>
      <w:bookmarkEnd w:id="248"/>
      <w:bookmarkStart w:id="249" w:name="_Toc184312091"/>
      <w:bookmarkEnd w:id="249"/>
      <w:bookmarkStart w:id="250" w:name="_Toc184314471"/>
      <w:bookmarkEnd w:id="250"/>
      <w:bookmarkStart w:id="251" w:name="_Toc184312119"/>
      <w:bookmarkEnd w:id="251"/>
      <w:bookmarkStart w:id="252" w:name="_Toc184312111"/>
      <w:bookmarkEnd w:id="252"/>
      <w:bookmarkStart w:id="253" w:name="_Toc184312077"/>
      <w:bookmarkEnd w:id="253"/>
      <w:bookmarkStart w:id="254" w:name="_Toc184312068"/>
      <w:bookmarkEnd w:id="254"/>
      <w:bookmarkStart w:id="255" w:name="_Toc184314426"/>
      <w:bookmarkEnd w:id="255"/>
      <w:bookmarkStart w:id="256" w:name="_Toc184310300"/>
      <w:bookmarkEnd w:id="256"/>
      <w:bookmarkStart w:id="257" w:name="_Toc184310310"/>
      <w:bookmarkEnd w:id="257"/>
      <w:bookmarkStart w:id="258" w:name="_Toc184314427"/>
      <w:bookmarkEnd w:id="258"/>
      <w:bookmarkStart w:id="259" w:name="_Toc184313260"/>
      <w:bookmarkEnd w:id="259"/>
      <w:bookmarkStart w:id="260" w:name="_Toc184314442"/>
      <w:bookmarkEnd w:id="260"/>
      <w:bookmarkStart w:id="261" w:name="_Toc184308102"/>
      <w:bookmarkEnd w:id="261"/>
      <w:bookmarkStart w:id="262" w:name="_Toc184314469"/>
      <w:bookmarkEnd w:id="262"/>
      <w:bookmarkStart w:id="263" w:name="_Toc184313240"/>
      <w:bookmarkEnd w:id="263"/>
      <w:bookmarkStart w:id="264" w:name="_Toc184312069"/>
      <w:bookmarkEnd w:id="264"/>
      <w:bookmarkStart w:id="265" w:name="_Toc184308076"/>
      <w:bookmarkEnd w:id="265"/>
      <w:bookmarkStart w:id="266" w:name="_Toc184314454"/>
      <w:bookmarkEnd w:id="266"/>
      <w:bookmarkStart w:id="267" w:name="_Toc184308103"/>
      <w:bookmarkEnd w:id="267"/>
      <w:bookmarkStart w:id="268" w:name="_Toc184313262"/>
      <w:bookmarkEnd w:id="268"/>
      <w:bookmarkStart w:id="269" w:name="_Toc184314438"/>
      <w:bookmarkEnd w:id="269"/>
      <w:bookmarkStart w:id="270" w:name="_Toc184310334"/>
      <w:bookmarkEnd w:id="270"/>
      <w:bookmarkStart w:id="271" w:name="_Toc184313254"/>
      <w:bookmarkEnd w:id="271"/>
      <w:bookmarkStart w:id="272" w:name="_Toc184312072"/>
      <w:bookmarkEnd w:id="272"/>
      <w:bookmarkStart w:id="273" w:name="_Toc184313245"/>
      <w:bookmarkEnd w:id="273"/>
      <w:bookmarkStart w:id="274" w:name="_Toc184308073"/>
      <w:bookmarkEnd w:id="274"/>
      <w:bookmarkStart w:id="275" w:name="_Toc184310274"/>
      <w:bookmarkEnd w:id="275"/>
      <w:bookmarkStart w:id="276" w:name="_Toc184308082"/>
      <w:bookmarkEnd w:id="276"/>
      <w:bookmarkStart w:id="277" w:name="_Toc184312078"/>
      <w:bookmarkEnd w:id="277"/>
      <w:bookmarkStart w:id="278" w:name="_Toc184314422"/>
      <w:bookmarkEnd w:id="278"/>
      <w:bookmarkStart w:id="279" w:name="_Toc184308087"/>
      <w:bookmarkEnd w:id="279"/>
      <w:bookmarkStart w:id="280" w:name="_Toc184308104"/>
      <w:bookmarkEnd w:id="280"/>
      <w:bookmarkStart w:id="281" w:name="_Toc184310302"/>
      <w:bookmarkEnd w:id="281"/>
      <w:bookmarkStart w:id="282" w:name="_Toc184312110"/>
      <w:bookmarkEnd w:id="282"/>
      <w:bookmarkStart w:id="283" w:name="_Toc184313266"/>
      <w:bookmarkEnd w:id="283"/>
      <w:bookmarkStart w:id="284" w:name="_Toc184312121"/>
      <w:bookmarkEnd w:id="284"/>
      <w:bookmarkStart w:id="285" w:name="_Toc184312083"/>
      <w:bookmarkEnd w:id="285"/>
      <w:bookmarkStart w:id="286" w:name="_Toc184314470"/>
      <w:bookmarkEnd w:id="286"/>
      <w:bookmarkStart w:id="287" w:name="_Toc184312115"/>
      <w:bookmarkEnd w:id="287"/>
      <w:bookmarkStart w:id="288" w:name="_Toc184313241"/>
      <w:bookmarkEnd w:id="288"/>
      <w:bookmarkStart w:id="289" w:name="_Toc184314462"/>
      <w:bookmarkEnd w:id="289"/>
      <w:bookmarkStart w:id="290" w:name="_Toc184308047"/>
      <w:bookmarkEnd w:id="290"/>
      <w:bookmarkStart w:id="291" w:name="_Toc184310336"/>
      <w:bookmarkEnd w:id="291"/>
      <w:bookmarkStart w:id="292" w:name="_Toc184313278"/>
      <w:bookmarkEnd w:id="292"/>
      <w:bookmarkStart w:id="293" w:name="_Toc184308059"/>
      <w:bookmarkEnd w:id="293"/>
      <w:bookmarkStart w:id="294" w:name="_Toc184313250"/>
      <w:bookmarkEnd w:id="294"/>
      <w:bookmarkStart w:id="295" w:name="_Toc184310312"/>
      <w:bookmarkEnd w:id="295"/>
      <w:bookmarkStart w:id="296" w:name="_Toc184310307"/>
      <w:bookmarkEnd w:id="296"/>
      <w:bookmarkStart w:id="297" w:name="_Toc184313307"/>
      <w:bookmarkEnd w:id="297"/>
      <w:bookmarkStart w:id="298" w:name="_Toc184314417"/>
      <w:bookmarkEnd w:id="298"/>
      <w:bookmarkStart w:id="299" w:name="_Toc184308046"/>
      <w:bookmarkEnd w:id="299"/>
      <w:bookmarkStart w:id="300" w:name="_Toc184310281"/>
      <w:bookmarkEnd w:id="300"/>
      <w:bookmarkStart w:id="301" w:name="_Toc184312103"/>
      <w:bookmarkEnd w:id="301"/>
      <w:bookmarkStart w:id="302" w:name="_Toc184312095"/>
      <w:bookmarkEnd w:id="302"/>
      <w:bookmarkStart w:id="303" w:name="_Toc184314420"/>
      <w:bookmarkEnd w:id="303"/>
      <w:bookmarkStart w:id="304" w:name="_Toc184310333"/>
      <w:bookmarkEnd w:id="304"/>
      <w:bookmarkStart w:id="305" w:name="_Toc184313292"/>
      <w:bookmarkEnd w:id="305"/>
      <w:bookmarkStart w:id="306" w:name="_Toc184308038"/>
      <w:bookmarkEnd w:id="306"/>
      <w:bookmarkStart w:id="307" w:name="_Toc184308061"/>
      <w:bookmarkEnd w:id="307"/>
      <w:bookmarkStart w:id="308" w:name="_Toc184308064"/>
      <w:bookmarkEnd w:id="308"/>
      <w:bookmarkStart w:id="309" w:name="_Toc184308045"/>
      <w:bookmarkEnd w:id="309"/>
      <w:bookmarkStart w:id="310" w:name="_Toc184308107"/>
      <w:bookmarkEnd w:id="310"/>
      <w:bookmarkStart w:id="311" w:name="_Toc184312101"/>
      <w:bookmarkEnd w:id="311"/>
      <w:bookmarkStart w:id="312" w:name="_Toc184312126"/>
      <w:bookmarkEnd w:id="312"/>
      <w:bookmarkStart w:id="313" w:name="_Toc184310306"/>
      <w:bookmarkEnd w:id="313"/>
      <w:bookmarkStart w:id="314" w:name="_Toc184308055"/>
      <w:bookmarkEnd w:id="314"/>
      <w:bookmarkStart w:id="315" w:name="_Toc184314435"/>
      <w:bookmarkEnd w:id="315"/>
      <w:bookmarkStart w:id="316" w:name="_Toc184308072"/>
      <w:bookmarkEnd w:id="316"/>
      <w:bookmarkStart w:id="317" w:name="_Toc184314480"/>
      <w:bookmarkEnd w:id="317"/>
      <w:bookmarkStart w:id="318" w:name="_Toc184313257"/>
      <w:bookmarkEnd w:id="318"/>
      <w:bookmarkStart w:id="319" w:name="_Toc184308099"/>
      <w:bookmarkEnd w:id="319"/>
      <w:bookmarkStart w:id="320" w:name="_Toc184312109"/>
      <w:bookmarkEnd w:id="320"/>
      <w:bookmarkStart w:id="321" w:name="_Toc184314466"/>
      <w:bookmarkEnd w:id="321"/>
      <w:bookmarkStart w:id="322" w:name="_Toc184313277"/>
      <w:bookmarkEnd w:id="322"/>
      <w:bookmarkStart w:id="323" w:name="_Toc184313309"/>
      <w:bookmarkEnd w:id="323"/>
      <w:bookmarkStart w:id="324" w:name="_Toc184314451"/>
      <w:bookmarkEnd w:id="324"/>
      <w:bookmarkStart w:id="325" w:name="_Toc184310288"/>
      <w:bookmarkEnd w:id="325"/>
      <w:bookmarkStart w:id="326" w:name="_Toc184312092"/>
      <w:bookmarkEnd w:id="326"/>
      <w:bookmarkStart w:id="327" w:name="_Toc184314441"/>
      <w:bookmarkEnd w:id="327"/>
      <w:bookmarkStart w:id="328" w:name="_Toc184313243"/>
      <w:bookmarkEnd w:id="328"/>
      <w:bookmarkStart w:id="329" w:name="_Toc184313280"/>
      <w:bookmarkEnd w:id="329"/>
      <w:bookmarkStart w:id="330" w:name="_Toc184310319"/>
      <w:bookmarkEnd w:id="330"/>
      <w:bookmarkStart w:id="331" w:name="_Toc184314423"/>
      <w:bookmarkEnd w:id="331"/>
      <w:bookmarkStart w:id="332" w:name="_Toc184312093"/>
      <w:bookmarkEnd w:id="332"/>
      <w:bookmarkStart w:id="333" w:name="_Toc184308052"/>
      <w:bookmarkEnd w:id="333"/>
      <w:bookmarkStart w:id="334" w:name="_Toc184312075"/>
      <w:bookmarkEnd w:id="334"/>
      <w:bookmarkStart w:id="335" w:name="_Toc184308093"/>
      <w:bookmarkEnd w:id="335"/>
      <w:bookmarkStart w:id="336" w:name="_Toc184314468"/>
      <w:bookmarkEnd w:id="336"/>
      <w:bookmarkStart w:id="337" w:name="_Toc184313273"/>
      <w:bookmarkEnd w:id="337"/>
      <w:bookmarkStart w:id="338" w:name="_Toc184310298"/>
      <w:bookmarkEnd w:id="338"/>
      <w:bookmarkStart w:id="339" w:name="_Toc184310290"/>
      <w:bookmarkEnd w:id="339"/>
      <w:bookmarkStart w:id="340" w:name="_Toc184310343"/>
      <w:bookmarkEnd w:id="340"/>
      <w:bookmarkStart w:id="341" w:name="_Toc184310323"/>
      <w:bookmarkEnd w:id="341"/>
      <w:bookmarkStart w:id="342" w:name="_Toc184312130"/>
      <w:bookmarkEnd w:id="342"/>
      <w:bookmarkStart w:id="343" w:name="_Toc184310327"/>
      <w:bookmarkEnd w:id="343"/>
      <w:bookmarkStart w:id="344" w:name="_Toc184310275"/>
      <w:bookmarkEnd w:id="344"/>
      <w:bookmarkStart w:id="345" w:name="_Toc184310303"/>
      <w:bookmarkEnd w:id="345"/>
      <w:bookmarkStart w:id="346" w:name="_Toc184310287"/>
      <w:bookmarkEnd w:id="346"/>
      <w:bookmarkStart w:id="347" w:name="_Toc184314458"/>
      <w:bookmarkEnd w:id="347"/>
      <w:bookmarkStart w:id="348" w:name="_Toc184313275"/>
      <w:bookmarkEnd w:id="348"/>
      <w:bookmarkStart w:id="349" w:name="_Toc184308106"/>
      <w:bookmarkEnd w:id="349"/>
      <w:bookmarkStart w:id="350" w:name="_Toc184314481"/>
      <w:bookmarkEnd w:id="350"/>
      <w:bookmarkStart w:id="351" w:name="_Toc184310339"/>
      <w:bookmarkEnd w:id="351"/>
      <w:bookmarkStart w:id="352" w:name="_Toc184310335"/>
      <w:bookmarkEnd w:id="352"/>
      <w:bookmarkStart w:id="353" w:name="_Toc184312137"/>
      <w:bookmarkEnd w:id="353"/>
      <w:bookmarkStart w:id="354" w:name="_Toc184313252"/>
      <w:bookmarkEnd w:id="354"/>
      <w:bookmarkStart w:id="355" w:name="_Toc184312135"/>
      <w:bookmarkEnd w:id="355"/>
      <w:bookmarkStart w:id="356" w:name="_Toc184312117"/>
      <w:bookmarkEnd w:id="356"/>
      <w:bookmarkStart w:id="357" w:name="_Toc184308092"/>
      <w:bookmarkEnd w:id="357"/>
      <w:bookmarkStart w:id="358" w:name="_Toc184310331"/>
      <w:bookmarkEnd w:id="358"/>
      <w:bookmarkStart w:id="359" w:name="_Toc184310305"/>
      <w:bookmarkEnd w:id="359"/>
      <w:bookmarkStart w:id="360" w:name="_Toc184313269"/>
      <w:bookmarkEnd w:id="360"/>
      <w:bookmarkStart w:id="361" w:name="_Toc184310286"/>
      <w:bookmarkEnd w:id="361"/>
      <w:bookmarkStart w:id="362" w:name="_Toc184312139"/>
      <w:bookmarkEnd w:id="362"/>
      <w:bookmarkStart w:id="363" w:name="_Toc184313244"/>
      <w:bookmarkEnd w:id="363"/>
      <w:bookmarkStart w:id="364" w:name="_Toc184312104"/>
      <w:bookmarkEnd w:id="364"/>
      <w:bookmarkStart w:id="365" w:name="_Toc184308040"/>
      <w:bookmarkEnd w:id="365"/>
      <w:bookmarkStart w:id="366" w:name="_Toc184313276"/>
      <w:bookmarkEnd w:id="366"/>
      <w:bookmarkStart w:id="367" w:name="_Toc184314474"/>
      <w:bookmarkEnd w:id="367"/>
      <w:bookmarkStart w:id="368" w:name="_Toc184310316"/>
      <w:bookmarkEnd w:id="368"/>
      <w:bookmarkStart w:id="369" w:name="_Toc184310272"/>
      <w:bookmarkEnd w:id="369"/>
      <w:bookmarkStart w:id="370" w:name="_Toc184314410"/>
      <w:bookmarkEnd w:id="370"/>
      <w:bookmarkStart w:id="371" w:name="_Toc184308095"/>
      <w:bookmarkEnd w:id="371"/>
      <w:bookmarkStart w:id="372" w:name="_Toc184313248"/>
      <w:bookmarkEnd w:id="372"/>
      <w:bookmarkStart w:id="373" w:name="_Toc184314453"/>
      <w:bookmarkEnd w:id="373"/>
      <w:bookmarkStart w:id="374" w:name="_Toc184312106"/>
      <w:bookmarkEnd w:id="374"/>
      <w:bookmarkStart w:id="375" w:name="_Toc184313255"/>
      <w:bookmarkEnd w:id="375"/>
      <w:bookmarkStart w:id="376" w:name="_Toc184310304"/>
      <w:bookmarkEnd w:id="376"/>
      <w:bookmarkStart w:id="377" w:name="_Toc184310337"/>
      <w:bookmarkEnd w:id="377"/>
      <w:bookmarkStart w:id="378" w:name="_Toc184313283"/>
      <w:bookmarkEnd w:id="378"/>
      <w:bookmarkStart w:id="379" w:name="_Toc184313238"/>
      <w:bookmarkEnd w:id="379"/>
      <w:bookmarkStart w:id="380" w:name="_Toc184312067"/>
      <w:bookmarkEnd w:id="380"/>
      <w:bookmarkStart w:id="381" w:name="_Toc184310328"/>
      <w:bookmarkEnd w:id="381"/>
      <w:bookmarkStart w:id="382" w:name="_Toc184313271"/>
      <w:bookmarkEnd w:id="382"/>
      <w:bookmarkStart w:id="383" w:name="_Toc184308090"/>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8"/>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3"/>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3"/>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3"/>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13"/>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5"/>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cs="仿宋" w:asciiTheme="minorEastAsia" w:hAnsiTheme="minorEastAsia"/>
          <w:color w:val="auto"/>
          <w:sz w:val="24"/>
          <w:u w:val="single"/>
          <w:lang w:val="en-US" w:eastAsia="zh-CN"/>
        </w:rPr>
        <w:t>2024年临江公司地下水检测井服务采购项目</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214"/>
        <w:jc w:val="center"/>
        <w:rPr>
          <w:rFonts w:hint="eastAsia"/>
          <w:b/>
          <w:bCs/>
        </w:rPr>
      </w:pPr>
      <w:r>
        <w:rPr>
          <w:rFonts w:hint="eastAsia"/>
          <w:b/>
          <w:bCs/>
        </w:rPr>
        <w:t>目录</w:t>
      </w:r>
    </w:p>
    <w:p>
      <w:pPr>
        <w:pStyle w:val="8"/>
        <w:spacing w:line="360" w:lineRule="auto"/>
        <w:ind w:firstLine="720" w:firstLineChars="300"/>
      </w:pPr>
      <w:r>
        <w:rPr>
          <w:rFonts w:hint="eastAsia"/>
        </w:rPr>
        <w:t>第一章 合同书  …………………………………………………………（页码）</w:t>
      </w:r>
    </w:p>
    <w:p>
      <w:pPr>
        <w:pStyle w:val="8"/>
        <w:spacing w:line="360" w:lineRule="auto"/>
        <w:ind w:firstLine="720" w:firstLineChars="300"/>
        <w:rPr>
          <w:rFonts w:hint="eastAsia"/>
        </w:rPr>
      </w:pPr>
      <w:r>
        <w:rPr>
          <w:rFonts w:hint="eastAsia"/>
        </w:rPr>
        <w:t>第二章 合同一般条款……………………………………………………（页码）</w:t>
      </w:r>
    </w:p>
    <w:p>
      <w:pPr>
        <w:pStyle w:val="8"/>
        <w:spacing w:line="360" w:lineRule="auto"/>
        <w:ind w:firstLine="720" w:firstLineChars="300"/>
        <w:rPr>
          <w:rFonts w:hint="eastAsia"/>
        </w:rPr>
      </w:pPr>
      <w:r>
        <w:rPr>
          <w:rFonts w:hint="eastAsia"/>
        </w:rPr>
        <w:t>第三章 安全协议…………………………………………………………（页码）</w:t>
      </w:r>
    </w:p>
    <w:p>
      <w:pPr>
        <w:pStyle w:val="8"/>
        <w:spacing w:line="360" w:lineRule="auto"/>
        <w:ind w:firstLine="720" w:firstLineChars="3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3"/>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w:t>
      </w:r>
      <w:r>
        <w:rPr>
          <w:rFonts w:hint="eastAsia" w:ascii="宋体" w:hAnsi="宋体"/>
          <w:sz w:val="24"/>
          <w:u w:val="single"/>
          <w:lang w:val="en-US" w:eastAsia="zh-CN"/>
        </w:rPr>
        <w:t>24</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lang w:val="en-US" w:eastAsia="zh-CN"/>
        </w:rPr>
        <w:t xml:space="preserve">  </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lang w:val="en-US" w:eastAsia="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rPr>
        <w:t xml:space="preserve">比价 </w:t>
      </w:r>
      <w:r>
        <w:rPr>
          <w:rFonts w:hint="eastAsia" w:ascii="宋体" w:hAnsi="宋体"/>
          <w:sz w:val="24"/>
        </w:rPr>
        <w:t>形式对</w:t>
      </w:r>
      <w:r>
        <w:rPr>
          <w:rFonts w:hint="eastAsia" w:cs="仿宋" w:asciiTheme="minorEastAsia" w:hAnsiTheme="minorEastAsia"/>
          <w:color w:val="auto"/>
          <w:sz w:val="24"/>
          <w:u w:val="single"/>
          <w:lang w:val="en-US" w:eastAsia="zh-CN"/>
        </w:rPr>
        <w:t>2024年临江公司地下水检测井服务采购</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lang w:val="en-US" w:eastAsia="zh-CN"/>
        </w:rPr>
        <w:t>评标小组</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84" w:name="_Toc22967"/>
      <w:bookmarkStart w:id="385" w:name="_Toc19273"/>
      <w:bookmarkStart w:id="386" w:name="_Toc15367"/>
      <w:bookmarkStart w:id="387" w:name="_Toc20421"/>
      <w:bookmarkStart w:id="388" w:name="_Toc28855"/>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18585"/>
      <w:bookmarkStart w:id="390" w:name="_Toc6311"/>
      <w:bookmarkStart w:id="391" w:name="_Toc2918"/>
      <w:bookmarkStart w:id="392" w:name="_Toc22185"/>
      <w:bookmarkStart w:id="393" w:name="_Toc6773"/>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sz w:val="24"/>
        </w:rPr>
        <w:t>元（大写：</w:t>
      </w:r>
      <w:r>
        <w:rPr>
          <w:rFonts w:hint="eastAsia" w:ascii="宋体" w:hAnsi="宋体" w:cs="宋体"/>
          <w:sz w:val="24"/>
          <w:u w:val="single"/>
        </w:rPr>
        <w:t xml:space="preserve">  /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r>
        <w:rPr>
          <w:rFonts w:hint="eastAsia" w:ascii="宋体" w:hAnsi="宋体"/>
          <w:sz w:val="24"/>
          <w:lang w:val="en-US" w:eastAsia="zh-CN"/>
        </w:rPr>
        <w:t>具体详见附件清单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w:t>
      </w:r>
      <w:r>
        <w:rPr>
          <w:rFonts w:hint="eastAsia" w:ascii="宋体" w:hAnsi="宋体" w:cs="宋体"/>
          <w:sz w:val="24"/>
          <w:lang w:val="en-US" w:eastAsia="zh-CN"/>
        </w:rPr>
        <w:t>检测费</w:t>
      </w:r>
      <w:r>
        <w:rPr>
          <w:rFonts w:hint="eastAsia" w:ascii="宋体" w:hAnsi="宋体" w:cs="宋体"/>
          <w:sz w:val="24"/>
        </w:rPr>
        <w:t>、运费、人工费、服务费、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甲方不再另行支付任何费用。分项清单如下：</w:t>
      </w:r>
      <w:r>
        <w:rPr>
          <w:rFonts w:hint="eastAsia" w:ascii="宋体" w:hAnsi="宋体" w:cs="宋体"/>
          <w:sz w:val="24"/>
        </w:rPr>
        <w:t xml:space="preserve"> </w:t>
      </w:r>
    </w:p>
    <w:tbl>
      <w:tblPr>
        <w:tblStyle w:val="15"/>
        <w:tblW w:w="8975" w:type="dxa"/>
        <w:tblInd w:w="96" w:type="dxa"/>
        <w:tblLayout w:type="fixed"/>
        <w:tblCellMar>
          <w:top w:w="0" w:type="dxa"/>
          <w:left w:w="108" w:type="dxa"/>
          <w:bottom w:w="0" w:type="dxa"/>
          <w:right w:w="108" w:type="dxa"/>
        </w:tblCellMar>
      </w:tblPr>
      <w:tblGrid>
        <w:gridCol w:w="636"/>
        <w:gridCol w:w="1671"/>
        <w:gridCol w:w="3097"/>
        <w:gridCol w:w="837"/>
        <w:gridCol w:w="1148"/>
        <w:gridCol w:w="876"/>
        <w:gridCol w:w="710"/>
      </w:tblGrid>
      <w:tr>
        <w:tblPrEx>
          <w:tblCellMar>
            <w:top w:w="0" w:type="dxa"/>
            <w:left w:w="108" w:type="dxa"/>
            <w:bottom w:w="0" w:type="dxa"/>
            <w:right w:w="108" w:type="dxa"/>
          </w:tblCellMar>
        </w:tblPrEx>
        <w:trPr>
          <w:trHeight w:val="561"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lang w:eastAsia="zh-CN"/>
              </w:rPr>
            </w:pPr>
            <w:r>
              <w:rPr>
                <w:rFonts w:hint="eastAsia" w:ascii="宋体" w:hAnsi="宋体" w:cs="宋体"/>
                <w:kern w:val="0"/>
                <w:sz w:val="20"/>
                <w:szCs w:val="20"/>
                <w:lang w:val="en-US" w:eastAsia="zh-CN" w:bidi="ar"/>
              </w:rPr>
              <w:t>项目</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内容</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单价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金额（元）</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r>
    </w:tbl>
    <w:p>
      <w:pPr>
        <w:pStyle w:val="5"/>
        <w:tabs>
          <w:tab w:val="left" w:pos="432"/>
        </w:tabs>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 xml:space="preserve">（3）其他计价方式： </w:t>
      </w:r>
      <w:r>
        <w:rPr>
          <w:rFonts w:hint="eastAsia" w:ascii="宋体" w:hAnsi="宋体" w:cs="宋体" w:eastAsiaTheme="minorEastAsia"/>
          <w:b w:val="0"/>
          <w:bCs w:val="0"/>
          <w:kern w:val="2"/>
          <w:sz w:val="24"/>
          <w:szCs w:val="24"/>
          <w:u w:val="single"/>
          <w:lang w:val="en-US" w:eastAsia="zh-CN" w:bidi="ar-SA"/>
        </w:rPr>
        <w:t xml:space="preserve">  / </w:t>
      </w:r>
      <w:r>
        <w:rPr>
          <w:rFonts w:hint="eastAsia" w:ascii="宋体" w:hAnsi="宋体" w:cs="宋体" w:eastAsiaTheme="minorEastAsia"/>
          <w:b w:val="0"/>
          <w:bCs w:val="0"/>
          <w:kern w:val="2"/>
          <w:sz w:val="24"/>
          <w:szCs w:val="24"/>
          <w:lang w:val="en-US" w:eastAsia="zh-CN" w:bidi="ar-SA"/>
        </w:rPr>
        <w:t xml:space="preserve"> 。</w:t>
      </w:r>
    </w:p>
    <w:p>
      <w:pPr>
        <w:pStyle w:val="24"/>
        <w:spacing w:before="0" w:beforeAutospacing="0" w:after="0" w:afterAutospacing="0" w:line="360" w:lineRule="auto"/>
        <w:ind w:firstLine="480" w:firstLineChars="200"/>
        <w:rPr>
          <w:rFonts w:hint="eastAsia"/>
        </w:rPr>
      </w:pPr>
      <w:r>
        <w:rPr>
          <w:rFonts w:hint="eastAsia"/>
        </w:rPr>
        <w:t>2.合同</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否</w:t>
      </w:r>
      <w:r>
        <w:rPr>
          <w:u w:val="single"/>
        </w:rPr>
        <w:t xml:space="preserve">  </w:t>
      </w:r>
      <w:r>
        <w:rPr>
          <w:rFonts w:hint="eastAsia"/>
        </w:rPr>
        <w:t>涉及货物。若涉及</w:t>
      </w:r>
      <w:r>
        <w:rPr>
          <w:rFonts w:hint="eastAsia"/>
          <w:lang w:eastAsia="zh-CN"/>
        </w:rPr>
        <w:t>货物的</w:t>
      </w:r>
      <w:r>
        <w:rPr>
          <w:rFonts w:hint="eastAsia"/>
        </w:rPr>
        <w:t>，</w:t>
      </w:r>
      <w:r>
        <w:rPr>
          <w:rFonts w:hint="eastAsia" w:cs="Times New Roman"/>
          <w:kern w:val="2"/>
        </w:rPr>
        <w:t xml:space="preserve">货物采用以下第 </w:t>
      </w:r>
      <w:r>
        <w:rPr>
          <w:rFonts w:hint="eastAsia" w:cs="Times New Roman"/>
          <w:kern w:val="2"/>
          <w:u w:val="single"/>
        </w:rPr>
        <w:t xml:space="preserve">/  </w:t>
      </w:r>
      <w:r>
        <w:rPr>
          <w:rFonts w:hint="eastAsia" w:cs="Times New Roman"/>
          <w:kern w:val="2"/>
        </w:rPr>
        <w:t>条款规定的计价方式计价。</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w:t>
      </w:r>
      <w:r>
        <w:rPr>
          <w:rFonts w:hint="eastAsia" w:ascii="宋体" w:hAnsi="宋体"/>
          <w:sz w:val="24"/>
        </w:rPr>
        <w:t>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单价和总价中均包括了服务类、运费、安装调试费、人工费、服务费、</w:t>
      </w:r>
      <w:r>
        <w:rPr>
          <w:rFonts w:hint="eastAsia" w:ascii="宋体" w:hAnsi="宋体" w:cs="宋体"/>
          <w:sz w:val="24"/>
          <w:lang w:eastAsia="zh-CN"/>
        </w:rPr>
        <w:t>税费</w:t>
      </w:r>
      <w:r>
        <w:rPr>
          <w:rFonts w:hint="eastAsia" w:ascii="宋体" w:hAnsi="宋体" w:cs="宋体"/>
          <w:sz w:val="24"/>
        </w:rPr>
        <w:t>、杂费等所有费用，该价格已包含甲方为履行本合同所需的全部费用，未</w:t>
      </w:r>
      <w:r>
        <w:rPr>
          <w:rFonts w:hint="eastAsia" w:ascii="宋体" w:hAnsi="宋体" w:cs="宋体"/>
          <w:sz w:val="24"/>
          <w:lang w:eastAsia="zh-CN"/>
        </w:rPr>
        <w:t>列明</w:t>
      </w:r>
      <w:r>
        <w:rPr>
          <w:rFonts w:hint="eastAsia" w:ascii="宋体" w:hAnsi="宋体" w:cs="宋体"/>
          <w:sz w:val="24"/>
        </w:rPr>
        <w:t>的分项视为优惠,本合同履行中，甲方不再另行支付任何费用。</w:t>
      </w:r>
    </w:p>
    <w:p>
      <w:pPr>
        <w:spacing w:line="360" w:lineRule="auto"/>
        <w:ind w:firstLine="480" w:firstLineChars="200"/>
        <w:rPr>
          <w:rFonts w:hint="eastAsia"/>
        </w:rPr>
      </w:pPr>
      <w:r>
        <w:rPr>
          <w:rFonts w:hint="eastAsia" w:ascii="宋体" w:hAnsi="宋体" w:cs="宋体"/>
          <w:sz w:val="24"/>
        </w:rPr>
        <w:t>（2）单价合同，</w:t>
      </w:r>
      <w:r>
        <w:rPr>
          <w:rFonts w:hint="eastAsia" w:ascii="宋体" w:hAnsi="宋体" w:cs="宋体"/>
          <w:sz w:val="24"/>
          <w:u w:val="single"/>
        </w:rPr>
        <w:t>按需更换、按实结算，货物总额控制</w:t>
      </w:r>
      <w:r>
        <w:rPr>
          <w:rFonts w:hint="eastAsia" w:ascii="宋体" w:hAnsi="宋体" w:cs="宋体"/>
          <w:sz w:val="24"/>
        </w:rPr>
        <w:t>。合同清单内货物价格为综合价格，含货款、税金、安装调试费、车辆费、工具费等所有费用。</w:t>
      </w:r>
      <w:r>
        <w:rPr>
          <w:rFonts w:ascii="宋体" w:hAnsi="宋体"/>
          <w:sz w:val="24"/>
        </w:rPr>
        <w:t>分项价格</w:t>
      </w:r>
      <w:r>
        <w:rPr>
          <w:rFonts w:hint="eastAsia" w:ascii="宋体" w:hAnsi="宋体" w:cs="宋体"/>
          <w:sz w:val="24"/>
        </w:rPr>
        <w:t>如下：</w:t>
      </w:r>
    </w:p>
    <w:tbl>
      <w:tblPr>
        <w:tblStyle w:val="15"/>
        <w:tblW w:w="9367"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71"/>
        <w:gridCol w:w="1629"/>
        <w:gridCol w:w="1632"/>
        <w:gridCol w:w="859"/>
        <w:gridCol w:w="745"/>
        <w:gridCol w:w="93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0" w:type="dxa"/>
            <w:noWrap w:val="0"/>
            <w:vAlign w:val="center"/>
          </w:tcPr>
          <w:p>
            <w:pPr>
              <w:pStyle w:val="5"/>
              <w:tabs>
                <w:tab w:val="left" w:pos="432"/>
              </w:tabs>
              <w:ind w:left="0" w:firstLine="0"/>
              <w:jc w:val="center"/>
              <w:rPr>
                <w:rFonts w:hint="eastAsia" w:ascii="宋体" w:hAnsi="宋体" w:eastAsia="宋体"/>
                <w:b w:val="0"/>
                <w:sz w:val="24"/>
                <w:szCs w:val="24"/>
                <w:lang w:val="en-US"/>
              </w:rPr>
            </w:pPr>
            <w:bookmarkStart w:id="394" w:name="_Toc21124"/>
            <w:bookmarkStart w:id="395" w:name="_Toc5635"/>
            <w:bookmarkStart w:id="396" w:name="_Toc4929"/>
            <w:bookmarkStart w:id="397" w:name="_Toc13918"/>
            <w:bookmarkStart w:id="398" w:name="_Toc1386"/>
            <w:r>
              <w:rPr>
                <w:rFonts w:hint="eastAsia" w:ascii="宋体" w:hAnsi="宋体" w:eastAsia="宋体"/>
                <w:b w:val="0"/>
                <w:sz w:val="24"/>
                <w:szCs w:val="24"/>
                <w:lang w:val="en-US"/>
              </w:rPr>
              <w:t>序号</w:t>
            </w:r>
          </w:p>
        </w:tc>
        <w:tc>
          <w:tcPr>
            <w:tcW w:w="1171"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货物名称</w:t>
            </w:r>
          </w:p>
        </w:tc>
        <w:tc>
          <w:tcPr>
            <w:tcW w:w="1629"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规格型号/技术要求</w:t>
            </w:r>
          </w:p>
        </w:tc>
        <w:tc>
          <w:tcPr>
            <w:tcW w:w="1632"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品牌/制造商</w:t>
            </w:r>
          </w:p>
        </w:tc>
        <w:tc>
          <w:tcPr>
            <w:tcW w:w="85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暂定数量</w:t>
            </w:r>
          </w:p>
        </w:tc>
        <w:tc>
          <w:tcPr>
            <w:tcW w:w="745"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单价</w:t>
            </w:r>
          </w:p>
        </w:tc>
        <w:tc>
          <w:tcPr>
            <w:tcW w:w="93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金额</w:t>
            </w:r>
          </w:p>
        </w:tc>
        <w:tc>
          <w:tcPr>
            <w:tcW w:w="1432"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0"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1</w:t>
            </w:r>
          </w:p>
        </w:tc>
        <w:tc>
          <w:tcPr>
            <w:tcW w:w="1171"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2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32"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85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745"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93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432" w:type="dxa"/>
            <w:noWrap w:val="0"/>
            <w:vAlign w:val="center"/>
          </w:tcPr>
          <w:p>
            <w:pPr>
              <w:pStyle w:val="5"/>
              <w:tabs>
                <w:tab w:val="left" w:pos="432"/>
              </w:tabs>
              <w:ind w:left="0" w:firstLine="0"/>
              <w:jc w:val="center"/>
              <w:rPr>
                <w:rFonts w:hint="default" w:ascii="宋体" w:hAnsi="宋体" w:eastAsia="宋体"/>
                <w:b w:val="0"/>
                <w:sz w:val="24"/>
                <w:szCs w:val="24"/>
                <w:lang w:val="en-US" w:eastAsia="zh-CN"/>
              </w:rPr>
            </w:pPr>
            <w:r>
              <w:rPr>
                <w:rFonts w:hint="eastAsia" w:ascii="宋体" w:hAnsi="宋体" w:eastAsia="宋体"/>
                <w:b w:val="0"/>
                <w:sz w:val="24"/>
                <w:szCs w:val="24"/>
                <w:lang w:val="en-US" w:eastAsia="zh-CN"/>
              </w:rPr>
              <w:t>税率</w:t>
            </w:r>
            <w:r>
              <w:rPr>
                <w:rFonts w:hint="eastAsia" w:ascii="宋体" w:hAnsi="宋体" w:eastAsia="宋体"/>
                <w:b w:val="0"/>
                <w:sz w:val="24"/>
                <w:szCs w:val="24"/>
                <w:u w:val="single"/>
                <w:lang w:val="en-US" w:eastAsia="zh-CN"/>
              </w:rPr>
              <w:t xml:space="preserve">    </w:t>
            </w:r>
            <w:r>
              <w:rPr>
                <w:rFonts w:hint="eastAsia" w:ascii="宋体" w:hAnsi="宋体" w:eastAsia="宋体"/>
                <w:b w:val="0"/>
                <w:sz w:val="24"/>
                <w:szCs w:val="24"/>
                <w:lang w:val="en-US" w:eastAsia="zh-CN"/>
              </w:rPr>
              <w:t>%</w:t>
            </w:r>
          </w:p>
        </w:tc>
      </w:tr>
      <w:bookmarkEnd w:id="394"/>
      <w:bookmarkEnd w:id="395"/>
      <w:bookmarkEnd w:id="396"/>
      <w:bookmarkEnd w:id="397"/>
      <w:bookmarkEnd w:id="398"/>
    </w:tbl>
    <w:p>
      <w:pPr>
        <w:spacing w:line="360" w:lineRule="auto"/>
        <w:ind w:firstLine="482" w:firstLineChars="200"/>
        <w:outlineLvl w:val="0"/>
        <w:rPr>
          <w:rFonts w:ascii="宋体" w:hAnsi="宋体"/>
          <w:b/>
          <w:sz w:val="24"/>
        </w:rPr>
      </w:pPr>
      <w:bookmarkStart w:id="399" w:name="_Toc22618"/>
      <w:bookmarkStart w:id="400" w:name="_Toc1814"/>
      <w:bookmarkStart w:id="401" w:name="_Toc10340"/>
      <w:bookmarkStart w:id="402" w:name="_Toc31421"/>
      <w:bookmarkStart w:id="403" w:name="_Toc11108"/>
      <w:bookmarkStart w:id="404" w:name="_Toc8772"/>
      <w:bookmarkStart w:id="405" w:name="_Toc4760"/>
      <w:bookmarkStart w:id="406" w:name="_Toc3625"/>
      <w:r>
        <w:rPr>
          <w:rFonts w:hint="eastAsia" w:ascii="宋体" w:hAnsi="宋体"/>
          <w:b/>
          <w:sz w:val="24"/>
        </w:rPr>
        <w:t>三、</w:t>
      </w:r>
      <w:r>
        <w:rPr>
          <w:rFonts w:ascii="宋体" w:hAnsi="宋体"/>
          <w:b/>
          <w:sz w:val="24"/>
        </w:rPr>
        <w:t>履行期限</w:t>
      </w:r>
      <w:r>
        <w:rPr>
          <w:rFonts w:hint="eastAsia" w:ascii="宋体" w:hAnsi="宋体"/>
          <w:b/>
          <w:sz w:val="24"/>
        </w:rPr>
        <w:t>、地点、联系方式、交付方式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w:t>
      </w:r>
      <w:r>
        <w:rPr>
          <w:rFonts w:hint="eastAsia" w:cs="仿宋" w:asciiTheme="minorEastAsia" w:hAnsiTheme="minorEastAsia"/>
          <w:color w:val="auto"/>
          <w:sz w:val="24"/>
          <w:u w:val="single"/>
          <w:lang w:val="en-US" w:eastAsia="zh-CN"/>
        </w:rPr>
        <w:t>合同签订起至完成地下水建井并采样分析出具报告为止</w:t>
      </w:r>
      <w:r>
        <w:rPr>
          <w:rFonts w:hint="eastAsia" w:ascii="宋体" w:hAnsi="宋体"/>
          <w:b/>
          <w:bCs/>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spacing w:line="360" w:lineRule="auto"/>
        <w:ind w:firstLine="480" w:firstLineChars="200"/>
        <w:rPr>
          <w:rFonts w:ascii="宋体" w:hAnsi="宋体"/>
          <w:sz w:val="24"/>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b/>
          <w:iCs/>
          <w:sz w:val="24"/>
          <w:u w:val="single"/>
          <w:lang w:val="en-US" w:eastAsia="zh-CN"/>
        </w:rPr>
        <w:t>完成建井并采样检测出具检测报告</w:t>
      </w:r>
      <w:r>
        <w:rPr>
          <w:rFonts w:hint="eastAsia" w:ascii="宋体" w:hAnsi="宋体"/>
          <w:sz w:val="24"/>
        </w:rPr>
        <w:t>。</w:t>
      </w:r>
    </w:p>
    <w:p>
      <w:pPr>
        <w:spacing w:line="360" w:lineRule="auto"/>
        <w:ind w:firstLine="480" w:firstLineChars="200"/>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ascii="宋体" w:hAnsi="宋体" w:cs="宋体"/>
          <w:sz w:val="24"/>
        </w:rPr>
      </w:pPr>
      <w:r>
        <w:rPr>
          <w:rFonts w:hint="eastAsia" w:ascii="宋体" w:hAnsi="宋体" w:cs="宋体"/>
          <w:sz w:val="24"/>
        </w:rPr>
        <w:t>1.根据甲方要求按时、按质、按量完成服务，履行合同义务。</w:t>
      </w:r>
    </w:p>
    <w:p>
      <w:pPr>
        <w:spacing w:line="360" w:lineRule="auto"/>
        <w:ind w:firstLine="480" w:firstLineChars="200"/>
        <w:outlineLvl w:val="0"/>
        <w:rPr>
          <w:rFonts w:hint="eastAsia" w:ascii="宋体" w:hAnsi="宋体" w:cs="宋体"/>
          <w:sz w:val="24"/>
        </w:rPr>
      </w:pPr>
      <w:r>
        <w:rPr>
          <w:rFonts w:hint="eastAsia" w:ascii="宋体" w:hAnsi="宋体" w:cs="宋体"/>
          <w:sz w:val="24"/>
        </w:rPr>
        <w:t>2.乙方所供货物应满足合同约定要求，有国家、地方、行业标准、规范（含强制适用标准、规范和推荐适用标准、规范）的，按相应标准、规范执行（不同标准、规范之间要求不一的，按要求较高者执行）；</w:t>
      </w:r>
    </w:p>
    <w:p>
      <w:pPr>
        <w:spacing w:line="360" w:lineRule="auto"/>
        <w:ind w:firstLine="480" w:firstLineChars="200"/>
        <w:outlineLvl w:val="0"/>
        <w:rPr>
          <w:rFonts w:hint="eastAsia" w:ascii="宋体" w:hAnsi="宋体" w:cs="宋体"/>
          <w:sz w:val="24"/>
        </w:rPr>
      </w:pPr>
      <w:r>
        <w:rPr>
          <w:rFonts w:hint="eastAsia" w:ascii="宋体" w:hAnsi="宋体" w:cs="宋体"/>
          <w:sz w:val="24"/>
        </w:rPr>
        <w:t>3.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spacing w:line="360" w:lineRule="auto"/>
        <w:ind w:firstLine="480" w:firstLineChars="200"/>
        <w:outlineLvl w:val="0"/>
        <w:rPr>
          <w:rFonts w:hint="eastAsia"/>
        </w:rPr>
      </w:pPr>
      <w:r>
        <w:rPr>
          <w:rFonts w:hint="eastAsia" w:ascii="宋体" w:hAnsi="宋体" w:cs="宋体"/>
          <w:sz w:val="24"/>
        </w:rPr>
        <w:t>4.甲方不再对任何售后服务进行付费，乙方的派遣人员产生的一切费用由供应商承担。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bookmarkStart w:id="407" w:name="_Toc6596"/>
      <w:bookmarkStart w:id="408" w:name="_Toc14563"/>
      <w:bookmarkStart w:id="409" w:name="_Toc1125"/>
      <w:r>
        <w:rPr>
          <w:rFonts w:hint="eastAsia" w:ascii="宋体" w:hAnsi="宋体" w:cs="宋体"/>
          <w:b/>
          <w:sz w:val="24"/>
        </w:rPr>
        <w:t>五、检验和验收</w:t>
      </w:r>
      <w:bookmarkEnd w:id="407"/>
      <w:bookmarkEnd w:id="408"/>
      <w:bookmarkEnd w:id="409"/>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w:t>
      </w:r>
      <w:r>
        <w:rPr>
          <w:rFonts w:hint="eastAsia" w:ascii="宋体" w:hAnsi="宋体"/>
          <w:b/>
          <w:bCs/>
          <w:sz w:val="24"/>
        </w:rPr>
        <w:t>验收单或者验收报告</w:t>
      </w:r>
      <w:r>
        <w:rPr>
          <w:rFonts w:hint="eastAsia" w:ascii="宋体" w:hAnsi="宋体"/>
          <w:sz w:val="24"/>
        </w:rPr>
        <w:t>。</w:t>
      </w:r>
    </w:p>
    <w:p>
      <w:pPr>
        <w:pStyle w:val="3"/>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cs="宋体"/>
          <w:sz w:val="24"/>
          <w:u w:val="single"/>
        </w:rPr>
      </w:pPr>
      <w:r>
        <w:rPr>
          <w:rFonts w:ascii="宋体" w:hAnsi="宋体" w:cs="宋体"/>
          <w:sz w:val="24"/>
        </w:rPr>
        <w:t>1.</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eastAsiaTheme="minorEastAsia"/>
          <w:kern w:val="0"/>
          <w:sz w:val="24"/>
          <w:szCs w:val="24"/>
          <w:u w:val="single"/>
          <w:lang w:val="en-US" w:eastAsia="zh-CN" w:bidi="ar-SA"/>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w:t>
      </w:r>
      <w:r>
        <w:rPr>
          <w:rFonts w:hint="eastAsia" w:ascii="宋体" w:hAnsi="宋体"/>
          <w:sz w:val="24"/>
          <w:u w:val="single"/>
          <w:lang w:val="en-US" w:eastAsia="zh-CN"/>
        </w:rPr>
        <w:t>30</w:t>
      </w:r>
      <w:r>
        <w:rPr>
          <w:rFonts w:hint="eastAsia" w:ascii="宋体" w:hAnsi="宋体"/>
          <w:sz w:val="24"/>
          <w:lang w:val="en-US" w:eastAsia="zh-CN"/>
        </w:rPr>
        <w:t>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9"/>
    <w:bookmarkEnd w:id="400"/>
    <w:bookmarkEnd w:id="401"/>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w:t>
      </w:r>
      <w:r>
        <w:rPr>
          <w:rFonts w:hint="eastAsia"/>
          <w:u w:val="single"/>
          <w:lang w:val="en-US" w:eastAsia="zh-CN"/>
        </w:rPr>
        <w:t>建井、检测报告</w:t>
      </w:r>
      <w:r>
        <w:rPr>
          <w:rFonts w:hint="eastAsia"/>
          <w:u w:val="single"/>
        </w:rPr>
        <w:t>经甲方验收合格后，甲方收到乙方提供的增值税专用发票后，甲方在本合同约定时间内完成支付。</w:t>
      </w:r>
      <w:r>
        <w:rPr>
          <w:rFonts w:hint="eastAsia"/>
        </w:rPr>
        <w:t xml:space="preserve">     </w:t>
      </w:r>
    </w:p>
    <w:p>
      <w:pPr>
        <w:pStyle w:val="24"/>
        <w:spacing w:before="0" w:beforeAutospacing="0" w:after="0" w:afterAutospacing="0" w:line="360" w:lineRule="auto"/>
        <w:ind w:firstLine="480" w:firstLineChars="200"/>
      </w:pPr>
      <w:r>
        <w:rPr>
          <w:rFonts w:hint="eastAsia"/>
        </w:rPr>
        <w:t>（4）</w:t>
      </w:r>
      <w:r>
        <w:rPr>
          <w:rFonts w:hint="eastAsia"/>
          <w:u w:val="single"/>
        </w:rPr>
        <w:t xml:space="preserve">其他付款方式： 按次支付费用， 验收合格后，乙方提供准确清单以及合格的增值税发票后，甲方于30日内完成该次费用支付 </w:t>
      </w:r>
      <w:r>
        <w:rPr>
          <w:rFonts w:hint="eastAsia"/>
        </w:rPr>
        <w:t>。</w:t>
      </w:r>
    </w:p>
    <w:p>
      <w:pPr>
        <w:spacing w:line="360" w:lineRule="auto"/>
        <w:ind w:firstLine="482" w:firstLineChars="200"/>
        <w:rPr>
          <w:rFonts w:ascii="宋体" w:hAnsi="宋体"/>
          <w:sz w:val="24"/>
          <w:u w:val="single"/>
        </w:rPr>
      </w:pPr>
      <w:r>
        <w:rPr>
          <w:rFonts w:hint="eastAsia" w:ascii="宋体" w:hAnsi="宋体"/>
          <w:b/>
          <w:sz w:val="24"/>
        </w:rPr>
        <w:t>十、</w:t>
      </w:r>
      <w:bookmarkEnd w:id="402"/>
      <w:bookmarkEnd w:id="403"/>
      <w:bookmarkEnd w:id="404"/>
      <w:bookmarkEnd w:id="405"/>
      <w:bookmarkEnd w:id="406"/>
      <w:bookmarkStart w:id="410" w:name="_Toc5698"/>
      <w:bookmarkStart w:id="411" w:name="_Toc24662"/>
      <w:bookmarkStart w:id="412" w:name="_Toc8586"/>
      <w:bookmarkStart w:id="413" w:name="_Toc3079"/>
      <w:bookmarkStart w:id="414" w:name="_Toc2375"/>
      <w:r>
        <w:rPr>
          <w:rFonts w:hint="eastAsia" w:ascii="宋体" w:hAnsi="宋体"/>
          <w:b/>
          <w:sz w:val="24"/>
        </w:rPr>
        <w:t>违约责任</w:t>
      </w:r>
      <w:bookmarkEnd w:id="410"/>
      <w:bookmarkEnd w:id="411"/>
      <w:bookmarkEnd w:id="412"/>
      <w:bookmarkEnd w:id="413"/>
      <w:bookmarkEnd w:id="41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15" w:name="_Toc18683"/>
      <w:bookmarkStart w:id="416" w:name="_Toc26807"/>
      <w:bookmarkStart w:id="417" w:name="_Toc30329"/>
      <w:bookmarkStart w:id="418" w:name="_Toc9497"/>
      <w:bookmarkStart w:id="419" w:name="_Toc32454"/>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（3）甲方无故拒收成果交付，乙方有权要求甲方按照合同原价支付费用  。</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15"/>
    <w:bookmarkEnd w:id="416"/>
    <w:bookmarkEnd w:id="417"/>
    <w:bookmarkEnd w:id="418"/>
    <w:bookmarkEnd w:id="419"/>
    <w:p>
      <w:pPr>
        <w:spacing w:line="360" w:lineRule="auto"/>
        <w:ind w:firstLine="482" w:firstLineChars="200"/>
        <w:outlineLvl w:val="0"/>
        <w:rPr>
          <w:rFonts w:ascii="宋体" w:hAnsi="宋体" w:cs="宋体"/>
          <w:b/>
          <w:sz w:val="24"/>
        </w:rPr>
      </w:pPr>
      <w:bookmarkStart w:id="420" w:name="_Toc28375"/>
      <w:bookmarkStart w:id="421" w:name="_Toc16021"/>
      <w:bookmarkStart w:id="422" w:name="_Toc15583"/>
      <w:r>
        <w:rPr>
          <w:rFonts w:hint="eastAsia" w:ascii="宋体" w:hAnsi="宋体" w:cs="宋体"/>
          <w:b/>
          <w:sz w:val="24"/>
        </w:rPr>
        <w:t>十一、合同争议的解决</w:t>
      </w:r>
      <w:bookmarkEnd w:id="420"/>
      <w:bookmarkEnd w:id="421"/>
      <w:bookmarkEnd w:id="422"/>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23" w:name="_Toc11173"/>
      <w:bookmarkStart w:id="424" w:name="_Toc15322"/>
      <w:bookmarkStart w:id="425" w:name="_Toc7245"/>
      <w:r>
        <w:rPr>
          <w:rFonts w:hint="eastAsia" w:ascii="宋体" w:hAnsi="宋体" w:cs="宋体"/>
          <w:b/>
          <w:sz w:val="24"/>
        </w:rPr>
        <w:t>十二、合同生效</w:t>
      </w:r>
      <w:bookmarkEnd w:id="423"/>
      <w:bookmarkEnd w:id="424"/>
      <w:bookmarkEnd w:id="425"/>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26" w:name="_Toc14021"/>
      <w:bookmarkStart w:id="427" w:name="_Toc25079"/>
      <w:bookmarkStart w:id="428" w:name="_Toc31297"/>
      <w:bookmarkStart w:id="429" w:name="_Toc5228"/>
      <w:bookmarkStart w:id="430" w:name="_Toc19680"/>
      <w:r>
        <w:rPr>
          <w:rFonts w:hint="eastAsia" w:ascii="宋体" w:hAnsi="宋体"/>
          <w:b/>
          <w:sz w:val="24"/>
        </w:rPr>
        <w:t>一、</w:t>
      </w:r>
      <w:r>
        <w:rPr>
          <w:rFonts w:ascii="宋体" w:hAnsi="宋体"/>
          <w:b/>
          <w:sz w:val="24"/>
        </w:rPr>
        <w:t>定义</w:t>
      </w:r>
      <w:bookmarkEnd w:id="426"/>
      <w:bookmarkEnd w:id="427"/>
      <w:bookmarkEnd w:id="428"/>
      <w:bookmarkEnd w:id="429"/>
      <w:bookmarkEnd w:id="430"/>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31" w:name="_Toc23289"/>
      <w:bookmarkStart w:id="432" w:name="_Toc3769"/>
      <w:bookmarkStart w:id="433" w:name="_Toc19539"/>
      <w:bookmarkStart w:id="434" w:name="_Toc16752"/>
      <w:bookmarkStart w:id="435" w:name="_Toc31402"/>
      <w:r>
        <w:rPr>
          <w:rFonts w:hint="eastAsia" w:ascii="宋体" w:hAnsi="宋体"/>
          <w:b/>
          <w:sz w:val="24"/>
        </w:rPr>
        <w:t>二、</w:t>
      </w:r>
      <w:r>
        <w:rPr>
          <w:rFonts w:ascii="宋体" w:hAnsi="宋体"/>
          <w:b/>
          <w:sz w:val="24"/>
        </w:rPr>
        <w:t xml:space="preserve"> 技术规范</w:t>
      </w:r>
      <w:bookmarkEnd w:id="431"/>
      <w:bookmarkEnd w:id="432"/>
      <w:bookmarkEnd w:id="433"/>
      <w:bookmarkEnd w:id="434"/>
      <w:bookmarkEnd w:id="435"/>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36" w:name="_Toc12412"/>
      <w:bookmarkStart w:id="437" w:name="_Toc13673"/>
      <w:bookmarkStart w:id="438" w:name="_Toc27945"/>
      <w:bookmarkStart w:id="439" w:name="_Toc4133"/>
      <w:bookmarkStart w:id="440" w:name="_Toc9161"/>
      <w:r>
        <w:rPr>
          <w:rFonts w:hint="eastAsia" w:ascii="宋体" w:hAnsi="宋体"/>
          <w:b/>
          <w:sz w:val="24"/>
        </w:rPr>
        <w:t>三、</w:t>
      </w:r>
      <w:r>
        <w:rPr>
          <w:rFonts w:ascii="宋体" w:hAnsi="宋体"/>
          <w:b/>
          <w:sz w:val="24"/>
        </w:rPr>
        <w:t xml:space="preserve"> 知识产权</w:t>
      </w:r>
      <w:bookmarkEnd w:id="436"/>
      <w:bookmarkEnd w:id="437"/>
      <w:bookmarkEnd w:id="438"/>
      <w:bookmarkEnd w:id="439"/>
      <w:bookmarkEnd w:id="44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41" w:name="_Toc32670"/>
      <w:bookmarkStart w:id="442" w:name="_Toc26555"/>
      <w:bookmarkStart w:id="443" w:name="_Toc15447"/>
      <w:bookmarkStart w:id="444" w:name="_Toc22011"/>
      <w:bookmarkStart w:id="445" w:name="_Toc31233"/>
      <w:r>
        <w:rPr>
          <w:rFonts w:hint="eastAsia" w:ascii="宋体" w:hAnsi="宋体"/>
          <w:b/>
          <w:sz w:val="24"/>
        </w:rPr>
        <w:t>五、</w:t>
      </w:r>
      <w:r>
        <w:rPr>
          <w:rFonts w:ascii="宋体" w:hAnsi="宋体"/>
          <w:b/>
          <w:sz w:val="24"/>
        </w:rPr>
        <w:t>结算方式和付款条件</w:t>
      </w:r>
      <w:bookmarkEnd w:id="441"/>
      <w:bookmarkEnd w:id="442"/>
      <w:bookmarkEnd w:id="443"/>
      <w:bookmarkEnd w:id="444"/>
      <w:bookmarkEnd w:id="445"/>
    </w:p>
    <w:p>
      <w:pPr>
        <w:spacing w:line="360" w:lineRule="auto"/>
        <w:ind w:firstLine="480" w:firstLineChars="200"/>
        <w:outlineLvl w:val="0"/>
        <w:rPr>
          <w:rFonts w:hint="eastAsia" w:ascii="宋体" w:hAnsi="宋体"/>
          <w:bCs/>
          <w:sz w:val="24"/>
        </w:rPr>
      </w:pPr>
      <w:bookmarkStart w:id="446" w:name="_Toc13467"/>
      <w:bookmarkStart w:id="447" w:name="_Toc30507"/>
      <w:bookmarkStart w:id="448" w:name="_Toc13154"/>
      <w:bookmarkStart w:id="449" w:name="_Toc16163"/>
      <w:bookmarkStart w:id="450" w:name="_Toc18990"/>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46"/>
      <w:bookmarkEnd w:id="447"/>
      <w:bookmarkEnd w:id="448"/>
      <w:bookmarkEnd w:id="449"/>
      <w:bookmarkEnd w:id="45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51" w:name="_Toc19069"/>
      <w:r>
        <w:rPr>
          <w:rFonts w:hint="eastAsia" w:ascii="宋体" w:hAnsi="宋体"/>
          <w:b/>
          <w:sz w:val="24"/>
        </w:rPr>
        <w:t>七、质量保证</w:t>
      </w:r>
      <w:bookmarkEnd w:id="451"/>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52"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52"/>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53" w:name="_Toc10611"/>
      <w:r>
        <w:rPr>
          <w:rFonts w:hint="eastAsia" w:ascii="宋体" w:hAnsi="宋体"/>
          <w:b/>
          <w:sz w:val="24"/>
        </w:rPr>
        <w:t>九、合同变更</w:t>
      </w:r>
      <w:bookmarkEnd w:id="453"/>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54" w:name="_Toc21830"/>
      <w:bookmarkStart w:id="455" w:name="_Toc26689"/>
      <w:bookmarkStart w:id="456" w:name="_Toc10663"/>
      <w:bookmarkStart w:id="457" w:name="_Toc23368"/>
      <w:bookmarkStart w:id="458" w:name="_Toc42"/>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54"/>
      <w:bookmarkEnd w:id="455"/>
      <w:bookmarkEnd w:id="456"/>
      <w:bookmarkEnd w:id="457"/>
      <w:bookmarkEnd w:id="458"/>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59" w:name="_Toc26633"/>
      <w:bookmarkStart w:id="460" w:name="_Toc32494"/>
      <w:bookmarkStart w:id="461" w:name="_Toc25571"/>
      <w:bookmarkStart w:id="462" w:name="_Toc14371"/>
      <w:bookmarkStart w:id="463" w:name="_Toc4720"/>
      <w:r>
        <w:rPr>
          <w:rFonts w:hint="eastAsia" w:ascii="宋体" w:hAnsi="宋体"/>
          <w:b/>
          <w:sz w:val="24"/>
        </w:rPr>
        <w:t>十一、</w:t>
      </w:r>
      <w:r>
        <w:rPr>
          <w:rFonts w:ascii="宋体" w:hAnsi="宋体"/>
          <w:b/>
          <w:sz w:val="24"/>
        </w:rPr>
        <w:t>不可抗力</w:t>
      </w:r>
      <w:bookmarkEnd w:id="459"/>
      <w:bookmarkEnd w:id="460"/>
      <w:bookmarkEnd w:id="461"/>
      <w:bookmarkEnd w:id="462"/>
      <w:bookmarkEnd w:id="463"/>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64" w:name="_Toc24465"/>
      <w:bookmarkStart w:id="465" w:name="_Toc3638"/>
      <w:bookmarkStart w:id="466" w:name="_Toc23854"/>
      <w:bookmarkStart w:id="467" w:name="_Toc14115"/>
      <w:bookmarkStart w:id="468" w:name="_Toc25783"/>
      <w:r>
        <w:rPr>
          <w:rFonts w:hint="eastAsia" w:ascii="宋体" w:hAnsi="宋体"/>
          <w:b/>
          <w:sz w:val="24"/>
        </w:rPr>
        <w:t>十二、</w:t>
      </w:r>
      <w:r>
        <w:rPr>
          <w:rFonts w:ascii="宋体" w:hAnsi="宋体"/>
          <w:b/>
          <w:sz w:val="24"/>
        </w:rPr>
        <w:t>税费</w:t>
      </w:r>
      <w:bookmarkEnd w:id="464"/>
      <w:bookmarkEnd w:id="465"/>
      <w:bookmarkEnd w:id="466"/>
      <w:bookmarkEnd w:id="467"/>
      <w:bookmarkEnd w:id="468"/>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69" w:name="_Toc30105"/>
      <w:bookmarkStart w:id="470" w:name="_Toc7315"/>
      <w:bookmarkStart w:id="471" w:name="_Toc25525"/>
      <w:bookmarkStart w:id="472" w:name="_Toc14814"/>
      <w:bookmarkStart w:id="473" w:name="_Toc26883"/>
      <w:r>
        <w:rPr>
          <w:rFonts w:hint="eastAsia" w:ascii="宋体" w:hAnsi="宋体"/>
          <w:b/>
          <w:sz w:val="24"/>
        </w:rPr>
        <w:t>十三、</w:t>
      </w:r>
      <w:r>
        <w:rPr>
          <w:rFonts w:ascii="宋体" w:hAnsi="宋体"/>
          <w:b/>
          <w:sz w:val="24"/>
        </w:rPr>
        <w:t>乙方破产</w:t>
      </w:r>
      <w:bookmarkEnd w:id="469"/>
      <w:bookmarkEnd w:id="470"/>
      <w:bookmarkEnd w:id="471"/>
      <w:bookmarkEnd w:id="472"/>
      <w:bookmarkEnd w:id="473"/>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74" w:name="_Toc1123"/>
      <w:bookmarkStart w:id="475" w:name="_Toc23323"/>
      <w:bookmarkStart w:id="476" w:name="_Toc2016"/>
      <w:r>
        <w:rPr>
          <w:rFonts w:hint="eastAsia" w:ascii="宋体" w:hAnsi="宋体"/>
          <w:b/>
          <w:sz w:val="24"/>
        </w:rPr>
        <w:t>十四、</w:t>
      </w:r>
      <w:r>
        <w:rPr>
          <w:rFonts w:ascii="宋体" w:hAnsi="宋体"/>
          <w:b/>
          <w:sz w:val="24"/>
        </w:rPr>
        <w:t>合同中止、终止</w:t>
      </w:r>
      <w:bookmarkEnd w:id="474"/>
      <w:bookmarkEnd w:id="475"/>
      <w:bookmarkEnd w:id="476"/>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77" w:name="_Toc14525"/>
      <w:bookmarkStart w:id="478" w:name="_Toc17363"/>
      <w:bookmarkStart w:id="479" w:name="_Toc1969"/>
      <w:r>
        <w:rPr>
          <w:rFonts w:hint="eastAsia" w:ascii="宋体" w:hAnsi="宋体"/>
          <w:b/>
          <w:sz w:val="24"/>
        </w:rPr>
        <w:t>十五</w:t>
      </w:r>
      <w:bookmarkEnd w:id="477"/>
      <w:bookmarkEnd w:id="478"/>
      <w:bookmarkEnd w:id="479"/>
      <w:bookmarkStart w:id="480" w:name="_Toc12666"/>
      <w:bookmarkStart w:id="481" w:name="_Toc25198"/>
      <w:bookmarkStart w:id="482" w:name="_Toc31892"/>
      <w:bookmarkStart w:id="483" w:name="_Toc9808"/>
      <w:bookmarkStart w:id="484" w:name="_Toc2308"/>
      <w:r>
        <w:rPr>
          <w:rFonts w:hint="eastAsia" w:ascii="宋体" w:hAnsi="宋体"/>
          <w:b/>
          <w:sz w:val="24"/>
        </w:rPr>
        <w:t>、</w:t>
      </w:r>
      <w:r>
        <w:rPr>
          <w:rFonts w:ascii="宋体" w:hAnsi="宋体"/>
          <w:b/>
          <w:sz w:val="24"/>
        </w:rPr>
        <w:t>通知和送达</w:t>
      </w:r>
      <w:bookmarkEnd w:id="480"/>
      <w:bookmarkEnd w:id="481"/>
      <w:bookmarkEnd w:id="482"/>
      <w:bookmarkEnd w:id="483"/>
      <w:bookmarkEnd w:id="484"/>
    </w:p>
    <w:p>
      <w:pPr>
        <w:spacing w:line="360" w:lineRule="auto"/>
        <w:ind w:firstLine="480" w:firstLineChars="200"/>
        <w:rPr>
          <w:rFonts w:ascii="宋体" w:hAnsi="宋体"/>
          <w:sz w:val="24"/>
        </w:rPr>
      </w:pPr>
      <w:bookmarkStart w:id="485" w:name="_Toc27674"/>
      <w:bookmarkStart w:id="486" w:name="_Toc18401"/>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85"/>
      <w:bookmarkEnd w:id="486"/>
    </w:p>
    <w:p>
      <w:pPr>
        <w:spacing w:line="360" w:lineRule="auto"/>
        <w:ind w:firstLine="482" w:firstLineChars="200"/>
        <w:outlineLvl w:val="0"/>
        <w:rPr>
          <w:rFonts w:ascii="宋体" w:hAnsi="宋体" w:cs="宋体"/>
          <w:b/>
          <w:sz w:val="24"/>
        </w:rPr>
      </w:pPr>
      <w:bookmarkStart w:id="487" w:name="_Toc18540"/>
      <w:bookmarkStart w:id="488" w:name="_Toc30599"/>
      <w:bookmarkStart w:id="489" w:name="_Toc4355"/>
      <w:bookmarkStart w:id="490" w:name="_Toc28906"/>
      <w:bookmarkStart w:id="491" w:name="_Toc27644"/>
      <w:bookmarkStart w:id="492" w:name="_Toc12254"/>
      <w:bookmarkStart w:id="493" w:name="_Toc20808"/>
      <w:bookmarkStart w:id="494" w:name="_Toc5063"/>
      <w:r>
        <w:rPr>
          <w:rFonts w:hint="eastAsia" w:ascii="宋体" w:hAnsi="宋体" w:cs="宋体"/>
          <w:b/>
          <w:sz w:val="24"/>
        </w:rPr>
        <w:t>十六、计量单位</w:t>
      </w:r>
      <w:bookmarkEnd w:id="487"/>
      <w:bookmarkEnd w:id="488"/>
      <w:bookmarkEnd w:id="489"/>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90"/>
      <w:bookmarkEnd w:id="491"/>
      <w:bookmarkEnd w:id="492"/>
      <w:bookmarkEnd w:id="493"/>
      <w:bookmarkEnd w:id="49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rPr>
          <w:rFonts w:hint="eastAsia"/>
        </w:rPr>
      </w:pPr>
    </w:p>
    <w:p>
      <w:pPr>
        <w:pStyle w:val="23"/>
        <w:spacing w:line="560" w:lineRule="exact"/>
        <w:ind w:left="0" w:leftChars="0" w:firstLine="0" w:firstLineChars="0"/>
        <w:jc w:val="both"/>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ind w:left="0" w:leftChars="0" w:firstLine="0" w:firstLineChars="0"/>
        <w:rPr>
          <w:rFonts w:hint="eastAsia"/>
          <w:b/>
          <w:szCs w:val="24"/>
          <w:lang w:val="en-US" w:eastAsia="zh-CN"/>
        </w:rPr>
      </w:pPr>
      <w:r>
        <w:rPr>
          <w:rFonts w:hint="eastAsia"/>
          <w:b/>
          <w:szCs w:val="24"/>
          <w:lang w:val="en-US" w:eastAsia="zh-CN"/>
        </w:rPr>
        <w:t>附件清单</w:t>
      </w:r>
    </w:p>
    <w:p>
      <w:pPr>
        <w:pStyle w:val="8"/>
        <w:ind w:left="0" w:leftChars="0" w:firstLine="0" w:firstLineChars="0"/>
        <w:rPr>
          <w:rFonts w:hint="default"/>
          <w:b/>
          <w:szCs w:val="24"/>
          <w:lang w:val="en-US" w:eastAsia="zh-CN"/>
        </w:rPr>
      </w:pPr>
    </w:p>
    <w:tbl>
      <w:tblPr>
        <w:tblStyle w:val="15"/>
        <w:tblW w:w="8975" w:type="dxa"/>
        <w:tblInd w:w="96" w:type="dxa"/>
        <w:tblLayout w:type="fixed"/>
        <w:tblCellMar>
          <w:top w:w="0" w:type="dxa"/>
          <w:left w:w="108" w:type="dxa"/>
          <w:bottom w:w="0" w:type="dxa"/>
          <w:right w:w="108" w:type="dxa"/>
        </w:tblCellMar>
      </w:tblPr>
      <w:tblGrid>
        <w:gridCol w:w="636"/>
        <w:gridCol w:w="1671"/>
        <w:gridCol w:w="3097"/>
        <w:gridCol w:w="837"/>
        <w:gridCol w:w="1148"/>
        <w:gridCol w:w="876"/>
        <w:gridCol w:w="710"/>
      </w:tblGrid>
      <w:tr>
        <w:trPr>
          <w:trHeight w:val="561" w:hRule="atLeast"/>
        </w:trPr>
        <w:tc>
          <w:tcPr>
            <w:tcW w:w="897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能源事业部</w:t>
            </w:r>
          </w:p>
        </w:tc>
      </w:tr>
      <w:tr>
        <w:tblPrEx>
          <w:tblCellMar>
            <w:top w:w="0" w:type="dxa"/>
            <w:left w:w="108" w:type="dxa"/>
            <w:bottom w:w="0" w:type="dxa"/>
            <w:right w:w="108" w:type="dxa"/>
          </w:tblCellMar>
        </w:tblPrEx>
        <w:trPr>
          <w:trHeight w:val="561"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lang w:eastAsia="zh-CN"/>
              </w:rPr>
            </w:pPr>
            <w:r>
              <w:rPr>
                <w:rFonts w:hint="eastAsia" w:ascii="宋体" w:hAnsi="宋体" w:cs="宋体"/>
                <w:kern w:val="0"/>
                <w:sz w:val="20"/>
                <w:szCs w:val="20"/>
                <w:lang w:val="en-US" w:eastAsia="zh-CN" w:bidi="ar"/>
              </w:rPr>
              <w:t>项目</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内容</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eastAsia="zh-CN"/>
              </w:rPr>
            </w:pPr>
            <w:r>
              <w:rPr>
                <w:rFonts w:hint="eastAsia" w:ascii="宋体" w:hAnsi="宋体" w:cs="宋体"/>
                <w:kern w:val="0"/>
                <w:sz w:val="20"/>
                <w:szCs w:val="20"/>
                <w:lang w:val="en-US" w:eastAsia="zh-CN" w:bidi="ar"/>
              </w:rPr>
              <w:t>数量</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单价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金额（元）</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sz w:val="20"/>
                <w:szCs w:val="20"/>
                <w:lang w:val="en-US" w:eastAsia="zh-CN"/>
              </w:rPr>
            </w:pPr>
            <w:r>
              <w:rPr>
                <w:rFonts w:hint="eastAsia" w:ascii="宋体" w:hAnsi="宋体" w:cs="宋体"/>
                <w:sz w:val="20"/>
                <w:szCs w:val="20"/>
                <w:lang w:val="en-US" w:eastAsia="zh-CN"/>
              </w:rPr>
              <w:t>建井</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sz w:val="20"/>
                <w:szCs w:val="20"/>
                <w:lang w:val="en-US" w:eastAsia="zh-CN"/>
              </w:rPr>
            </w:pPr>
            <w:r>
              <w:rPr>
                <w:rFonts w:hint="eastAsia" w:ascii="宋体" w:hAnsi="宋体" w:cs="宋体"/>
                <w:sz w:val="20"/>
                <w:szCs w:val="20"/>
                <w:lang w:val="en-US" w:eastAsia="zh-CN"/>
              </w:rPr>
              <w:t>DN200 深度12米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9个</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r>
      <w:tr>
        <w:tblPrEx>
          <w:tblCellMar>
            <w:top w:w="0" w:type="dxa"/>
            <w:left w:w="108" w:type="dxa"/>
            <w:bottom w:w="0" w:type="dxa"/>
            <w:right w:w="108" w:type="dxa"/>
          </w:tblCellMar>
        </w:tblPrEx>
        <w:trPr>
          <w:trHeight w:val="1768"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检测报告</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kern w:val="0"/>
                <w:sz w:val="20"/>
                <w:szCs w:val="20"/>
                <w:lang w:val="en-US" w:eastAsia="zh-CN" w:bidi="ar"/>
              </w:rPr>
              <w:t>pH、氨氮、硝酸盐、亚硝酸盐、挥发性酚类、氰化物、耗氧量、铁、锰、镍、锌、铜、镉、铅、汞、砷、锑、锡、六价铬、氟化物、溶解性总固体、总硬度、氯化物、硫酸盐、细菌总数、总大肠菌群</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9份</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826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三固事业部</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sz w:val="20"/>
                <w:szCs w:val="20"/>
                <w:lang w:val="en-US" w:eastAsia="zh-CN"/>
              </w:rPr>
              <w:t>建井</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sz w:val="20"/>
                <w:szCs w:val="20"/>
                <w:lang w:val="en-US" w:eastAsia="zh-CN"/>
              </w:rPr>
              <w:t>DN100 深度12米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5个</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检测报告</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kern w:val="0"/>
                <w:sz w:val="20"/>
                <w:szCs w:val="20"/>
                <w:lang w:val="en-US" w:eastAsia="zh-CN" w:bidi="ar"/>
              </w:rPr>
              <w:t>pH、氨氮、硝酸盐、亚硝酸盐、挥发性酚类、氰化物、耗氧量、铁、锰、镍、锌、铜、镉、铅、汞、砷、锑、锡、六价铬、氟化物、溶解性总固体、总硬度、氯化物、硫酸盐、细菌总数、总大肠菌群</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5份</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bl>
    <w:p>
      <w:pPr>
        <w:pStyle w:val="8"/>
        <w:ind w:left="0" w:leftChars="0" w:firstLine="0" w:firstLineChars="0"/>
        <w:rPr>
          <w:rFonts w:hint="eastAsia" w:ascii="宋体" w:hAnsi="宋体" w:eastAsiaTheme="minorEastAsia"/>
          <w:b/>
          <w:szCs w:val="24"/>
          <w:lang w:val="en-US" w:eastAsia="zh-CN"/>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u w:val="single"/>
          <w:lang w:val="en-US"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8"/>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default" w:ascii="宋体" w:hAnsi="宋体" w:cs="宋体" w:eastAsiaTheme="minorEastAsia"/>
          <w:sz w:val="24"/>
          <w:u w:val="single"/>
          <w:lang w:val="en-US" w:eastAsia="zh-CN"/>
        </w:rPr>
      </w:pPr>
      <w:r>
        <w:rPr>
          <w:rFonts w:hint="eastAsia" w:ascii="宋体" w:hAnsi="宋体" w:cs="宋体"/>
          <w:sz w:val="24"/>
        </w:rPr>
        <w:t>乙方：</w:t>
      </w:r>
      <w:r>
        <w:rPr>
          <w:rFonts w:hint="eastAsia" w:ascii="宋体" w:hAnsi="宋体" w:cs="宋体"/>
          <w:sz w:val="24"/>
          <w:u w:val="single"/>
          <w:lang w:eastAsia="zh-CN"/>
        </w:rPr>
        <w:t xml:space="preserve">  </w:t>
      </w:r>
      <w:r>
        <w:rPr>
          <w:rFonts w:hint="eastAsia" w:ascii="宋体" w:hAnsi="宋体" w:cs="宋体"/>
          <w:sz w:val="24"/>
          <w:u w:val="single"/>
          <w:lang w:val="en-US"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3"/>
      </w:pPr>
    </w:p>
    <w:p>
      <w:pPr>
        <w:pStyle w:val="3"/>
        <w:rPr>
          <w:color w:val="auto"/>
        </w:rPr>
      </w:pPr>
    </w:p>
    <w:p>
      <w:pPr>
        <w:pStyle w:val="2"/>
        <w:rPr>
          <w:color w:val="auto"/>
        </w:rPr>
      </w:pPr>
    </w:p>
    <w:p>
      <w:pPr>
        <w:pStyle w:val="13"/>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2"/>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6"/>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2024年临江公司地下水检测井服务采购项目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3"/>
        <w:rPr>
          <w:color w:val="auto"/>
        </w:rPr>
      </w:pPr>
    </w:p>
    <w:p>
      <w:pPr>
        <w:pStyle w:val="2"/>
        <w:rPr>
          <w:color w:val="auto"/>
        </w:rPr>
      </w:pPr>
    </w:p>
    <w:p>
      <w:pPr>
        <w:rPr>
          <w:color w:val="auto"/>
        </w:rPr>
      </w:pPr>
    </w:p>
    <w:p>
      <w:pPr>
        <w:pStyle w:val="3"/>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pStyle w:val="13"/>
        <w:rPr>
          <w:color w:val="auto"/>
        </w:rPr>
      </w:pPr>
    </w:p>
    <w:p>
      <w:pPr>
        <w:rPr>
          <w:color w:val="auto"/>
        </w:rPr>
      </w:pPr>
    </w:p>
    <w:p>
      <w:pPr>
        <w:pStyle w:val="14"/>
      </w:pPr>
    </w:p>
    <w:p>
      <w:pPr>
        <w:rPr>
          <w:color w:val="auto"/>
        </w:rPr>
      </w:pPr>
    </w:p>
    <w:p>
      <w:pPr>
        <w:pStyle w:val="3"/>
        <w:rPr>
          <w:color w:val="auto"/>
        </w:rPr>
      </w:pPr>
    </w:p>
    <w:p>
      <w:pPr>
        <w:pStyle w:val="2"/>
        <w:rPr>
          <w:color w:val="auto"/>
        </w:rPr>
      </w:pPr>
    </w:p>
    <w:p>
      <w:pPr>
        <w:rPr>
          <w:color w:val="auto"/>
        </w:rPr>
      </w:pPr>
    </w:p>
    <w:p>
      <w:pPr>
        <w:pStyle w:val="3"/>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202403022</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pPr>
    </w:p>
    <w:p>
      <w:pPr>
        <w:pStyle w:val="2"/>
        <w:rPr>
          <w:color w:val="auto"/>
        </w:rPr>
      </w:pPr>
    </w:p>
    <w:p>
      <w:pPr>
        <w:rPr>
          <w:color w:val="auto"/>
        </w:rPr>
      </w:pPr>
    </w:p>
    <w:p>
      <w:pPr>
        <w:pStyle w:val="3"/>
        <w:rPr>
          <w:color w:val="auto"/>
        </w:rPr>
      </w:pPr>
    </w:p>
    <w:p>
      <w:pPr>
        <w:pStyle w:val="2"/>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3"/>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pPr>
    </w:p>
    <w:p>
      <w:pPr>
        <w:pStyle w:val="3"/>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ind w:left="0" w:leftChars="0" w:firstLine="0" w:firstLineChars="0"/>
      </w:pPr>
    </w:p>
    <w:p>
      <w:pPr>
        <w:pStyle w:val="2"/>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202403022</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1"/>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3"/>
        <w:widowControl w:val="0"/>
        <w:numPr>
          <w:ilvl w:val="0"/>
          <w:numId w:val="0"/>
        </w:numPr>
        <w:autoSpaceDE w:val="0"/>
        <w:autoSpaceDN w:val="0"/>
        <w:adjustRightInd w:val="0"/>
        <w:spacing w:line="360" w:lineRule="auto"/>
        <w:jc w:val="both"/>
        <w:rPr>
          <w:color w:val="auto"/>
        </w:rPr>
      </w:pPr>
    </w:p>
    <w:p>
      <w:pPr>
        <w:pStyle w:val="2"/>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kern w:val="0"/>
          <w:sz w:val="24"/>
          <w:u w:val="single"/>
          <w:lang w:eastAsia="zh-CN"/>
        </w:rPr>
        <w:t>（项目编号：202403022）</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3"/>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3"/>
        <w:rPr>
          <w:rFonts w:hint="eastAsia" w:cs="仿宋" w:asciiTheme="minorEastAsia" w:hAnsiTheme="minorEastAsia"/>
          <w:b/>
          <w:color w:val="auto"/>
          <w:kern w:val="0"/>
          <w:sz w:val="32"/>
          <w:szCs w:val="32"/>
          <w:lang w:val="zh-CN"/>
        </w:rPr>
      </w:pPr>
    </w:p>
    <w:p>
      <w:pPr>
        <w:pStyle w:val="2"/>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2"/>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3"/>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3"/>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2"/>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2"/>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eastAsia="宋体" w:cs="宋体"/>
          <w:color w:val="auto"/>
          <w:sz w:val="24"/>
          <w:szCs w:val="24"/>
          <w:u w:val="single"/>
          <w:lang w:val="en-US" w:eastAsia="zh-CN"/>
        </w:rPr>
        <w:t xml:space="preserve">（项目编号：202403022）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6"/>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3"/>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w:t>
      </w:r>
      <w:r>
        <w:rPr>
          <w:rFonts w:hint="eastAsia" w:cs="仿宋" w:asciiTheme="minorEastAsia" w:hAnsiTheme="minorEastAsia"/>
          <w:color w:val="auto"/>
          <w:sz w:val="24"/>
          <w:u w:val="single"/>
          <w:lang w:val="en-US" w:eastAsia="zh-CN"/>
        </w:rPr>
        <w:t>2024年临江公司地下水检测井服务采购</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202300x</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lang w:val="en-US" w:eastAsia="zh-CN"/>
        </w:rPr>
        <w:t>服务</w:t>
      </w:r>
      <w:r>
        <w:rPr>
          <w:rFonts w:hint="eastAsia" w:ascii="宋体" w:hAnsi="宋体" w:eastAsia="宋体" w:cs="宋体"/>
          <w:color w:val="auto"/>
          <w:sz w:val="24"/>
          <w:szCs w:val="24"/>
        </w:rPr>
        <w:t>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3"/>
        <w:adjustRightInd w:val="0"/>
        <w:spacing w:after="0" w:line="360" w:lineRule="auto"/>
        <w:ind w:firstLine="480" w:firstLineChars="200"/>
        <w:jc w:val="left"/>
        <w:rPr>
          <w:rFonts w:hint="eastAsia" w:ascii="宋体" w:hAnsi="宋体" w:cs="宋体"/>
          <w:color w:val="auto"/>
          <w:szCs w:val="21"/>
        </w:rPr>
      </w:pPr>
    </w:p>
    <w:p>
      <w:pPr>
        <w:pStyle w:val="3"/>
        <w:adjustRightInd w:val="0"/>
        <w:spacing w:after="0" w:line="360" w:lineRule="auto"/>
        <w:ind w:firstLine="480" w:firstLineChars="200"/>
        <w:jc w:val="left"/>
        <w:rPr>
          <w:rFonts w:hint="eastAsia" w:ascii="宋体" w:hAnsi="宋体" w:cs="宋体"/>
          <w:color w:val="auto"/>
          <w:szCs w:val="21"/>
        </w:rPr>
      </w:pPr>
    </w:p>
    <w:p>
      <w:pPr>
        <w:pStyle w:val="3"/>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3"/>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3"/>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3"/>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2024年临江公司地下水检测井服务采购项目</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w:t>
      </w:r>
      <w:r>
        <w:rPr>
          <w:rFonts w:hint="eastAsia" w:cs="仿宋" w:asciiTheme="minorEastAsia" w:hAnsiTheme="minorEastAsia"/>
          <w:color w:val="auto"/>
          <w:sz w:val="24"/>
          <w:u w:val="single"/>
          <w:lang w:val="en-US" w:eastAsia="zh-CN"/>
        </w:rPr>
        <w:t>4003</w:t>
      </w:r>
      <w:r>
        <w:rPr>
          <w:rFonts w:hint="default" w:cs="仿宋" w:asciiTheme="minorEastAsia" w:hAnsiTheme="minorEastAsia"/>
          <w:color w:val="auto"/>
          <w:sz w:val="24"/>
          <w:u w:val="single"/>
          <w:lang w:val="en-US"/>
        </w:rPr>
        <w:t>x</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5"/>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1552"/>
        <w:gridCol w:w="3248"/>
        <w:gridCol w:w="825"/>
        <w:gridCol w:w="1230"/>
        <w:gridCol w:w="1230"/>
        <w:gridCol w:w="1080"/>
        <w:gridCol w:w="2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1927"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1552"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品牌（如果有）</w:t>
            </w:r>
          </w:p>
        </w:tc>
        <w:tc>
          <w:tcPr>
            <w:tcW w:w="324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规格型号</w:t>
            </w:r>
          </w:p>
        </w:tc>
        <w:tc>
          <w:tcPr>
            <w:tcW w:w="82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数量</w:t>
            </w:r>
          </w:p>
        </w:tc>
        <w:tc>
          <w:tcPr>
            <w:tcW w:w="1230"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单位</w:t>
            </w:r>
          </w:p>
        </w:tc>
        <w:tc>
          <w:tcPr>
            <w:tcW w:w="123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08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515" w:type="dxa"/>
            <w:gridSpan w:val="2"/>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1927" w:type="dxa"/>
            <w:vAlign w:val="center"/>
          </w:tcPr>
          <w:p>
            <w:pPr>
              <w:snapToGrid w:val="0"/>
              <w:spacing w:line="360" w:lineRule="auto"/>
              <w:jc w:val="center"/>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u w:val="none"/>
                <w:lang w:val="en-US" w:eastAsia="zh-CN"/>
              </w:rPr>
              <w:t>建井（永久井）</w:t>
            </w:r>
          </w:p>
        </w:tc>
        <w:tc>
          <w:tcPr>
            <w:tcW w:w="1552"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DN200，深度12米</w:t>
            </w:r>
          </w:p>
        </w:tc>
        <w:tc>
          <w:tcPr>
            <w:tcW w:w="825"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9</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个</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2</w:t>
            </w:r>
          </w:p>
        </w:tc>
        <w:tc>
          <w:tcPr>
            <w:tcW w:w="1927" w:type="dxa"/>
            <w:vAlign w:val="center"/>
          </w:tcPr>
          <w:p>
            <w:pPr>
              <w:snapToGrid w:val="0"/>
              <w:spacing w:line="360" w:lineRule="auto"/>
              <w:jc w:val="center"/>
              <w:rPr>
                <w:rFonts w:hint="eastAsia" w:cs="仿宋" w:asciiTheme="minorEastAsia" w:hAnsiTheme="minorEastAsia"/>
                <w:color w:val="auto"/>
                <w:sz w:val="24"/>
                <w:u w:val="none"/>
                <w:lang w:val="en-US" w:eastAsia="zh-CN"/>
              </w:rPr>
            </w:pPr>
            <w:r>
              <w:rPr>
                <w:rFonts w:hint="eastAsia" w:cs="仿宋" w:asciiTheme="minorEastAsia" w:hAnsiTheme="minorEastAsia"/>
                <w:color w:val="auto"/>
                <w:sz w:val="24"/>
                <w:u w:val="none"/>
                <w:lang w:val="en-US" w:eastAsia="zh-CN"/>
              </w:rPr>
              <w:t>建井（永久井）</w:t>
            </w:r>
          </w:p>
        </w:tc>
        <w:tc>
          <w:tcPr>
            <w:tcW w:w="1552"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DN100，深度12米</w:t>
            </w:r>
          </w:p>
        </w:tc>
        <w:tc>
          <w:tcPr>
            <w:tcW w:w="825"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5</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个</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3</w:t>
            </w:r>
          </w:p>
        </w:tc>
        <w:tc>
          <w:tcPr>
            <w:tcW w:w="1927" w:type="dxa"/>
            <w:vAlign w:val="center"/>
          </w:tcPr>
          <w:p>
            <w:pPr>
              <w:snapToGrid w:val="0"/>
              <w:spacing w:line="360" w:lineRule="auto"/>
              <w:jc w:val="center"/>
              <w:rPr>
                <w:rFonts w:hint="default" w:cs="仿宋" w:asciiTheme="minorEastAsia" w:hAnsiTheme="minorEastAsia"/>
                <w:color w:val="auto"/>
                <w:sz w:val="24"/>
                <w:u w:val="none"/>
                <w:lang w:val="en-US" w:eastAsia="zh-CN"/>
              </w:rPr>
            </w:pPr>
            <w:r>
              <w:rPr>
                <w:rFonts w:hint="eastAsia" w:cs="仿宋" w:asciiTheme="minorEastAsia" w:hAnsiTheme="minorEastAsia"/>
                <w:color w:val="auto"/>
                <w:sz w:val="24"/>
                <w:u w:val="none"/>
                <w:lang w:val="en-US" w:eastAsia="zh-CN"/>
              </w:rPr>
              <w:t>分析报告</w:t>
            </w:r>
          </w:p>
        </w:tc>
        <w:tc>
          <w:tcPr>
            <w:tcW w:w="1552"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pH、氨氮、硝酸盐、亚硝酸盐、挥发性酚类、氰化物、耗氧量、铁、锰、镍、锌、铜、镉、铅、汞、砷、锑、锡、六价铬、氟化物、溶解性总固体、总硬度、氯化物、硫酸盐、细菌总数、总大肠菌群</w:t>
            </w:r>
          </w:p>
        </w:tc>
        <w:tc>
          <w:tcPr>
            <w:tcW w:w="825"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14</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份</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013"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7898" w:type="dxa"/>
            <w:gridSpan w:val="6"/>
            <w:vAlign w:val="center"/>
          </w:tcPr>
          <w:p>
            <w:pPr>
              <w:spacing w:line="360" w:lineRule="auto"/>
              <w:jc w:val="center"/>
              <w:rPr>
                <w:rFonts w:cs="仿宋" w:asciiTheme="minorEastAsia" w:hAnsiTheme="minorEastAsia"/>
                <w:color w:val="auto"/>
                <w:sz w:val="24"/>
              </w:rPr>
            </w:pPr>
          </w:p>
        </w:tc>
        <w:tc>
          <w:tcPr>
            <w:tcW w:w="1230"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013"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7898" w:type="dxa"/>
            <w:gridSpan w:val="6"/>
            <w:vAlign w:val="center"/>
          </w:tcPr>
          <w:p>
            <w:pPr>
              <w:spacing w:line="360" w:lineRule="auto"/>
              <w:jc w:val="center"/>
              <w:rPr>
                <w:rFonts w:cs="仿宋" w:asciiTheme="minorEastAsia" w:hAnsiTheme="minorEastAsia"/>
                <w:color w:val="auto"/>
                <w:sz w:val="24"/>
              </w:rPr>
            </w:pPr>
          </w:p>
        </w:tc>
        <w:tc>
          <w:tcPr>
            <w:tcW w:w="1230"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013" w:type="dxa"/>
            <w:gridSpan w:val="3"/>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7898" w:type="dxa"/>
            <w:gridSpan w:val="6"/>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c>
          <w:tcPr>
            <w:tcW w:w="1230" w:type="dxa"/>
            <w:vAlign w:val="center"/>
          </w:tcPr>
          <w:p>
            <w:pPr>
              <w:spacing w:line="360" w:lineRule="auto"/>
              <w:jc w:val="center"/>
              <w:rPr>
                <w:rFonts w:hint="eastAsia" w:cs="仿宋" w:asciiTheme="minorEastAsia" w:hAnsiTheme="minorEastAsia"/>
                <w:color w:val="auto"/>
                <w:sz w:val="24"/>
                <w:u w:val="single"/>
                <w:lang w:val="en-US" w:eastAsia="zh-CN"/>
              </w:rPr>
            </w:pP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495" w:name="_Toc465665161"/>
      <w:r>
        <w:rPr>
          <w:rFonts w:hint="eastAsia" w:cs="宋体" w:asciiTheme="minorEastAsia" w:hAnsiTheme="minorEastAsia"/>
          <w:b/>
          <w:bCs/>
          <w:color w:val="auto"/>
          <w:kern w:val="44"/>
          <w:sz w:val="44"/>
          <w:szCs w:val="44"/>
        </w:rPr>
        <w:t>附件</w:t>
      </w:r>
      <w:bookmarkEnd w:id="495"/>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2"/>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2024003x</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w:t>
      </w:r>
      <w:r>
        <w:rPr>
          <w:rFonts w:hint="eastAsia" w:cs="仿宋" w:asciiTheme="minorEastAsia" w:hAnsiTheme="minorEastAsia"/>
          <w:bCs/>
          <w:color w:val="auto"/>
          <w:sz w:val="24"/>
          <w:lang w:eastAsia="zh-CN"/>
        </w:rPr>
        <w:t>做如下</w:t>
      </w:r>
      <w:r>
        <w:rPr>
          <w:rFonts w:hint="eastAsia" w:cs="仿宋" w:asciiTheme="minorEastAsia" w:hAnsiTheme="minorEastAsia"/>
          <w:bCs/>
          <w:color w:val="auto"/>
          <w:sz w:val="24"/>
        </w:rPr>
        <w:t>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202403022</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5"/>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3"/>
        <w:rPr>
          <w:color w:val="auto"/>
        </w:rPr>
      </w:pPr>
    </w:p>
    <w:p>
      <w:pPr>
        <w:rPr>
          <w:color w:val="auto"/>
        </w:rPr>
      </w:pPr>
    </w:p>
    <w:p>
      <w:pPr>
        <w:pStyle w:val="3"/>
        <w:rPr>
          <w:color w:val="auto"/>
        </w:rPr>
      </w:pPr>
    </w:p>
    <w:p>
      <w:pPr>
        <w:pStyle w:val="3"/>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cs="仿宋"/>
        <w:i/>
        <w:iCs/>
      </w:rPr>
    </w:pPr>
  </w:p>
  <w:p>
    <w:pPr>
      <w:pStyle w:val="11"/>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000000"/>
    <w:rsid w:val="023E1286"/>
    <w:rsid w:val="046A1781"/>
    <w:rsid w:val="04E634F4"/>
    <w:rsid w:val="05150472"/>
    <w:rsid w:val="051B17AF"/>
    <w:rsid w:val="0805754C"/>
    <w:rsid w:val="08670640"/>
    <w:rsid w:val="08E37A2F"/>
    <w:rsid w:val="09EC7123"/>
    <w:rsid w:val="09ED56C9"/>
    <w:rsid w:val="0A1D0FFF"/>
    <w:rsid w:val="0AD025A1"/>
    <w:rsid w:val="0BD07B44"/>
    <w:rsid w:val="0C492847"/>
    <w:rsid w:val="0D9D236E"/>
    <w:rsid w:val="0E8343D4"/>
    <w:rsid w:val="0F095788"/>
    <w:rsid w:val="0F81598B"/>
    <w:rsid w:val="10BE08E9"/>
    <w:rsid w:val="1157552B"/>
    <w:rsid w:val="1429122D"/>
    <w:rsid w:val="14521AA0"/>
    <w:rsid w:val="15BE749A"/>
    <w:rsid w:val="166F3635"/>
    <w:rsid w:val="185A544F"/>
    <w:rsid w:val="18890233"/>
    <w:rsid w:val="198737C7"/>
    <w:rsid w:val="19DC6BDA"/>
    <w:rsid w:val="1A6E3C55"/>
    <w:rsid w:val="1AA56FDE"/>
    <w:rsid w:val="1B7913A6"/>
    <w:rsid w:val="1C742A28"/>
    <w:rsid w:val="1CD34128"/>
    <w:rsid w:val="1CDE6781"/>
    <w:rsid w:val="1F457921"/>
    <w:rsid w:val="21677697"/>
    <w:rsid w:val="22A244DC"/>
    <w:rsid w:val="23AE001C"/>
    <w:rsid w:val="284A39BF"/>
    <w:rsid w:val="2A1060BE"/>
    <w:rsid w:val="2A6366FF"/>
    <w:rsid w:val="2A6807FA"/>
    <w:rsid w:val="2B32649C"/>
    <w:rsid w:val="2BFF4E3C"/>
    <w:rsid w:val="2C270527"/>
    <w:rsid w:val="2C4141D8"/>
    <w:rsid w:val="2E8337FA"/>
    <w:rsid w:val="2F1F33A8"/>
    <w:rsid w:val="2F5836E9"/>
    <w:rsid w:val="30123142"/>
    <w:rsid w:val="304A7E50"/>
    <w:rsid w:val="314B6E80"/>
    <w:rsid w:val="32843E96"/>
    <w:rsid w:val="352F03C1"/>
    <w:rsid w:val="36162BCB"/>
    <w:rsid w:val="36412810"/>
    <w:rsid w:val="36BD312A"/>
    <w:rsid w:val="37514AF4"/>
    <w:rsid w:val="377C0298"/>
    <w:rsid w:val="37F61CA1"/>
    <w:rsid w:val="39C31C6C"/>
    <w:rsid w:val="3C283344"/>
    <w:rsid w:val="3C3420E0"/>
    <w:rsid w:val="3C485F9D"/>
    <w:rsid w:val="3C7C70D7"/>
    <w:rsid w:val="3E0C6463"/>
    <w:rsid w:val="3EEC52AF"/>
    <w:rsid w:val="403E57B7"/>
    <w:rsid w:val="40532D51"/>
    <w:rsid w:val="4179370E"/>
    <w:rsid w:val="42112513"/>
    <w:rsid w:val="43496F4C"/>
    <w:rsid w:val="435518AD"/>
    <w:rsid w:val="437A2DA4"/>
    <w:rsid w:val="44873A1C"/>
    <w:rsid w:val="472961BF"/>
    <w:rsid w:val="49105C83"/>
    <w:rsid w:val="49A53D97"/>
    <w:rsid w:val="4AE27CAC"/>
    <w:rsid w:val="4B70249A"/>
    <w:rsid w:val="4BAC48C9"/>
    <w:rsid w:val="4F251D5C"/>
    <w:rsid w:val="4FD65994"/>
    <w:rsid w:val="4FEB08B0"/>
    <w:rsid w:val="4FEE63C4"/>
    <w:rsid w:val="5039401C"/>
    <w:rsid w:val="50886E1D"/>
    <w:rsid w:val="513B5867"/>
    <w:rsid w:val="514563A8"/>
    <w:rsid w:val="523875F5"/>
    <w:rsid w:val="52506204"/>
    <w:rsid w:val="52B35FD7"/>
    <w:rsid w:val="533B163F"/>
    <w:rsid w:val="53FA1DF3"/>
    <w:rsid w:val="54AB2D04"/>
    <w:rsid w:val="56F563A5"/>
    <w:rsid w:val="571F3A0C"/>
    <w:rsid w:val="57F2034A"/>
    <w:rsid w:val="58235318"/>
    <w:rsid w:val="58354DBE"/>
    <w:rsid w:val="59121C77"/>
    <w:rsid w:val="59DE0E09"/>
    <w:rsid w:val="5A283DD0"/>
    <w:rsid w:val="5ACD76EE"/>
    <w:rsid w:val="5B3D7F5F"/>
    <w:rsid w:val="5EFD2476"/>
    <w:rsid w:val="5F0279C4"/>
    <w:rsid w:val="5F944466"/>
    <w:rsid w:val="6139287F"/>
    <w:rsid w:val="62121B84"/>
    <w:rsid w:val="63CF15A0"/>
    <w:rsid w:val="657B7ADB"/>
    <w:rsid w:val="673E5F91"/>
    <w:rsid w:val="679754A0"/>
    <w:rsid w:val="67D649B5"/>
    <w:rsid w:val="68C66552"/>
    <w:rsid w:val="6A4E3ABD"/>
    <w:rsid w:val="6AE63D7E"/>
    <w:rsid w:val="6B462C2B"/>
    <w:rsid w:val="700D088C"/>
    <w:rsid w:val="700E4F44"/>
    <w:rsid w:val="70173239"/>
    <w:rsid w:val="721A5B23"/>
    <w:rsid w:val="72B931C1"/>
    <w:rsid w:val="738D03F5"/>
    <w:rsid w:val="767E5B01"/>
    <w:rsid w:val="79EB254B"/>
    <w:rsid w:val="7AF4716D"/>
    <w:rsid w:val="7BA82ABD"/>
    <w:rsid w:val="7C662D96"/>
    <w:rsid w:val="7D797C2B"/>
    <w:rsid w:val="7D955BFE"/>
    <w:rsid w:val="7DAC6A56"/>
    <w:rsid w:val="7E60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ind w:firstLine="420"/>
    </w:pPr>
    <w:rPr>
      <w:rFonts w:hAnsi="Times New Roman" w:cs="Times New Roman"/>
      <w:snapToGrid/>
      <w:szCs w:val="20"/>
    </w:rPr>
  </w:style>
  <w:style w:type="paragraph" w:styleId="3">
    <w:name w:val="Body Text"/>
    <w:basedOn w:val="1"/>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8">
    <w:name w:val="Body Text Indent"/>
    <w:basedOn w:val="1"/>
    <w:autoRedefine/>
    <w:qFormat/>
    <w:uiPriority w:val="0"/>
    <w:pPr>
      <w:spacing w:line="480" w:lineRule="exact"/>
      <w:ind w:firstLine="480" w:firstLineChars="200"/>
    </w:pPr>
    <w:rPr>
      <w:rFonts w:ascii="宋体" w:hAnsi="宋体"/>
      <w:sz w:val="24"/>
    </w:rPr>
  </w:style>
  <w:style w:type="paragraph" w:styleId="9">
    <w:name w:val="Plain Text"/>
    <w:basedOn w:val="1"/>
    <w:autoRedefine/>
    <w:qFormat/>
    <w:uiPriority w:val="0"/>
    <w:rPr>
      <w:rFonts w:ascii="宋体" w:hAnsi="Courier New"/>
      <w:szCs w:val="22"/>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autoRedefine/>
    <w:qFormat/>
    <w:uiPriority w:val="39"/>
    <w:pPr>
      <w:jc w:val="left"/>
    </w:pPr>
    <w:rPr>
      <w:b/>
      <w:caps/>
    </w:rPr>
  </w:style>
  <w:style w:type="paragraph" w:styleId="13">
    <w:name w:val="toc 6"/>
    <w:basedOn w:val="1"/>
    <w:next w:val="1"/>
    <w:autoRedefine/>
    <w:qFormat/>
    <w:uiPriority w:val="0"/>
    <w:pPr>
      <w:ind w:left="2100" w:leftChars="1000"/>
    </w:p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8"/>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22</TotalTime>
  <ScaleCrop>false</ScaleCrop>
  <LinksUpToDate>false</LinksUpToDate>
  <CharactersWithSpaces>30082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2024-03-18T02:44:36Z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A1ED29D5195F42DC88B15D6E555041E6</vt:lpwstr>
  </property>
</Properties>
</file>