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adjustRightInd w:val="0"/>
        <w:snapToGrid w:val="0"/>
        <w:spacing w:line="360" w:lineRule="auto"/>
        <w:jc w:val="center"/>
        <w:rPr>
          <w:rFonts w:hint="eastAsia" w:cs="宋体" w:asciiTheme="minorEastAsia" w:hAnsiTheme="minorEastAsia" w:eastAsiaTheme="minorEastAsia"/>
          <w:sz w:val="48"/>
          <w:szCs w:val="48"/>
          <w:lang w:eastAsia="zh-CN"/>
        </w:rPr>
      </w:pPr>
      <w:r>
        <w:rPr>
          <w:rFonts w:hint="eastAsia" w:cs="宋体" w:asciiTheme="minorEastAsia" w:hAnsiTheme="minorEastAsia"/>
          <w:sz w:val="48"/>
          <w:szCs w:val="48"/>
          <w:u w:val="single"/>
          <w:lang w:eastAsia="zh-CN"/>
        </w:rPr>
        <w:t>2024年临江公司</w:t>
      </w:r>
      <w:r>
        <w:rPr>
          <w:rFonts w:hint="eastAsia" w:cs="宋体" w:asciiTheme="minorEastAsia" w:hAnsiTheme="minorEastAsia"/>
          <w:sz w:val="48"/>
          <w:szCs w:val="48"/>
          <w:u w:val="single"/>
          <w:lang w:val="en-US" w:eastAsia="zh-CN"/>
        </w:rPr>
        <w:t>南方泵</w:t>
      </w:r>
      <w:r>
        <w:rPr>
          <w:rFonts w:hint="eastAsia" w:cs="宋体" w:asciiTheme="minorEastAsia" w:hAnsiTheme="minorEastAsia"/>
          <w:sz w:val="48"/>
          <w:szCs w:val="48"/>
          <w:u w:val="single"/>
          <w:lang w:eastAsia="zh-CN"/>
        </w:rPr>
        <w:t>采购项目</w:t>
      </w: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lang w:val="en-US"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202404013</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hint="eastAsia" w:cs="仿宋" w:asciiTheme="minorEastAsia" w:hAnsiTheme="minorEastAsia"/>
          <w:sz w:val="32"/>
          <w:szCs w:val="32"/>
          <w:lang w:eastAsia="zh-CN"/>
        </w:rPr>
        <w:t>2024年</w:t>
      </w:r>
      <w:r>
        <w:rPr>
          <w:rFonts w:hint="eastAsia" w:cs="仿宋" w:asciiTheme="minorEastAsia" w:hAnsiTheme="minorEastAsia"/>
          <w:sz w:val="32"/>
          <w:szCs w:val="32"/>
          <w:lang w:val="en-US" w:eastAsia="zh-CN"/>
        </w:rPr>
        <w:t>04</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16</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02"/>
      <w:bookmarkStart w:id="2" w:name="_Toc35393621"/>
      <w:bookmarkStart w:id="3" w:name="_Toc28359079"/>
      <w:bookmarkStart w:id="4" w:name="_Toc35393790"/>
      <w:bookmarkStart w:id="5"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2024年临江公司南方泵采购项目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202404013</w:t>
      </w:r>
      <w:bookmarkStart w:id="517" w:name="_GoBack"/>
      <w:bookmarkEnd w:id="517"/>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2024年临江公司南方泵采购项目</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b w:val="0"/>
          <w:bCs w:val="0"/>
          <w:sz w:val="24"/>
          <w:u w:val="single"/>
          <w:lang w:val="en-US" w:eastAsia="zh-CN"/>
        </w:rPr>
        <w:t>10.1</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南方泵</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val="en-US" w:eastAsia="zh-CN"/>
        </w:rPr>
        <w:t>合同期限为一年，合同期内，供应商根据甲方订单需求一次性完成供货</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w:t>
      </w:r>
      <w:r>
        <w:rPr>
          <w:rFonts w:hint="eastAsia" w:cs="仿宋" w:asciiTheme="minorEastAsia" w:hAnsiTheme="minorEastAsia"/>
          <w:sz w:val="24"/>
          <w:u w:val="single"/>
          <w:lang w:val="en-US" w:eastAsia="zh-CN"/>
        </w:rPr>
        <w:t>40天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按甲方需求</w:t>
      </w:r>
      <w:r>
        <w:rPr>
          <w:rFonts w:hint="eastAsia" w:cs="仿宋" w:asciiTheme="minorEastAsia" w:hAnsiTheme="minorEastAsia"/>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howingPlcHdr/>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80"/>
      <w:bookmarkStart w:id="7" w:name="_Toc28359003"/>
      <w:bookmarkStart w:id="8" w:name="_Toc35393791"/>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28359004"/>
      <w:bookmarkStart w:id="11" w:name="_Toc35393623"/>
      <w:bookmarkStart w:id="12" w:name="_Toc35393792"/>
      <w:bookmarkStart w:id="13" w:name="_Toc28359081"/>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w:t>
      </w:r>
      <w:r>
        <w:rPr>
          <w:rFonts w:hint="eastAsia" w:cs="仿宋" w:asciiTheme="minorEastAsia" w:hAnsiTheme="minorEastAsia"/>
          <w:bCs/>
          <w:sz w:val="24"/>
          <w:lang w:val="en-US" w:eastAsia="zh-CN"/>
        </w:rPr>
        <w:t>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无</w:t>
      </w:r>
      <w:r>
        <w:rPr>
          <w:rFonts w:hint="eastAsia" w:cs="仿宋" w:asciiTheme="minorEastAsia" w:hAnsiTheme="minorEastAsia"/>
          <w:bCs/>
          <w:sz w:val="24"/>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hint="eastAsia" w:cs="仿宋" w:asciiTheme="minorEastAsia" w:hAnsiTheme="minorEastAsia" w:eastAsiaTheme="minorEastAsia"/>
          <w:bCs/>
          <w:sz w:val="24"/>
          <w:u w:val="single"/>
          <w:lang w:eastAsia="zh-CN"/>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  </w:t>
      </w:r>
      <w:r>
        <w:rPr>
          <w:rFonts w:hint="eastAsia" w:cs="仿宋" w:asciiTheme="minorEastAsia" w:hAnsiTheme="minorEastAsia"/>
          <w:bCs/>
          <w:sz w:val="24"/>
          <w:u w:val="single"/>
          <w:lang w:eastAsia="zh-CN"/>
        </w:rPr>
        <w:t>。</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28359082"/>
      <w:bookmarkStart w:id="16" w:name="_Toc35393793"/>
      <w:bookmarkStart w:id="17" w:name="_Toc35393624"/>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04</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23</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11</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lang w:eastAsia="zh-CN"/>
        </w:rPr>
        <w:t>2024年</w:t>
      </w:r>
      <w:r>
        <w:rPr>
          <w:rFonts w:hint="eastAsia" w:cs="仿宋" w:asciiTheme="minorEastAsia" w:hAnsiTheme="minorEastAsia"/>
          <w:bCs/>
          <w:sz w:val="24"/>
          <w:u w:val="single"/>
          <w:lang w:val="en-US" w:eastAsia="zh-CN"/>
        </w:rPr>
        <w:t>04</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23</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11</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w:t>
      </w:r>
      <w:r>
        <w:rPr>
          <w:rFonts w:hint="eastAsia" w:cs="仿宋" w:asciiTheme="minorEastAsia" w:hAnsiTheme="minorEastAsia"/>
          <w:sz w:val="24"/>
          <w:lang w:eastAsia="zh-CN"/>
        </w:rPr>
        <w:t>开启</w:t>
      </w:r>
      <w:r>
        <w:rPr>
          <w:rFonts w:hint="eastAsia" w:cs="仿宋" w:asciiTheme="minorEastAsia" w:hAnsiTheme="minorEastAsia"/>
          <w:sz w:val="24"/>
        </w:rPr>
        <w:t>采用线上和线下同时进行的方式，供应商可参与现场</w:t>
      </w:r>
      <w:r>
        <w:rPr>
          <w:rFonts w:hint="eastAsia" w:cs="仿宋" w:asciiTheme="minorEastAsia" w:hAnsiTheme="minorEastAsia"/>
          <w:sz w:val="24"/>
          <w:lang w:eastAsia="zh-CN"/>
        </w:rPr>
        <w:t>开启</w:t>
      </w:r>
      <w:r>
        <w:rPr>
          <w:rFonts w:hint="eastAsia" w:cs="仿宋" w:asciiTheme="minorEastAsia" w:hAnsiTheme="minorEastAsia"/>
          <w:sz w:val="24"/>
        </w:rPr>
        <w:t>，或者线上参加“腾讯会议”形式参与线上现场</w:t>
      </w:r>
      <w:r>
        <w:rPr>
          <w:rFonts w:hint="eastAsia" w:cs="仿宋" w:asciiTheme="minorEastAsia" w:hAnsiTheme="minorEastAsia"/>
          <w:sz w:val="24"/>
          <w:lang w:eastAsia="zh-CN"/>
        </w:rPr>
        <w:t>开启</w:t>
      </w:r>
      <w:r>
        <w:rPr>
          <w:rFonts w:hint="eastAsia" w:cs="仿宋" w:asciiTheme="minorEastAsia" w:hAnsiTheme="minorEastAsia"/>
          <w:sz w:val="24"/>
        </w:rPr>
        <w:t>。</w:t>
      </w:r>
      <w:r>
        <w:rPr>
          <w:rFonts w:hint="eastAsia" w:cs="仿宋" w:asciiTheme="minorEastAsia" w:hAnsiTheme="minorEastAsia"/>
          <w:sz w:val="24"/>
          <w:lang w:eastAsia="zh-CN"/>
        </w:rPr>
        <w:t>开启</w:t>
      </w:r>
      <w:r>
        <w:rPr>
          <w:rFonts w:hint="eastAsia" w:cs="仿宋" w:asciiTheme="minorEastAsia" w:hAnsiTheme="minorEastAsia"/>
          <w:sz w:val="24"/>
        </w:rPr>
        <w:t>期间供应商代表通过“腾讯会议”保持全程在线直至</w:t>
      </w:r>
      <w:r>
        <w:rPr>
          <w:rFonts w:hint="eastAsia" w:cs="仿宋" w:asciiTheme="minorEastAsia" w:hAnsiTheme="minorEastAsia"/>
          <w:sz w:val="24"/>
          <w:lang w:eastAsia="zh-CN"/>
        </w:rPr>
        <w:t>开启</w:t>
      </w:r>
      <w:r>
        <w:rPr>
          <w:rFonts w:hint="eastAsia" w:cs="仿宋" w:asciiTheme="minorEastAsia" w:hAnsiTheme="minorEastAsia"/>
          <w:sz w:val="24"/>
        </w:rPr>
        <w:t>结束。腾讯会议号在</w:t>
      </w:r>
      <w:r>
        <w:rPr>
          <w:rFonts w:hint="eastAsia" w:cs="仿宋" w:asciiTheme="minorEastAsia" w:hAnsiTheme="minorEastAsia"/>
          <w:sz w:val="24"/>
          <w:lang w:eastAsia="zh-CN"/>
        </w:rPr>
        <w:t>开启</w:t>
      </w:r>
      <w:r>
        <w:rPr>
          <w:rFonts w:hint="eastAsia" w:cs="仿宋" w:asciiTheme="minorEastAsia" w:hAnsiTheme="minorEastAsia"/>
          <w:sz w:val="24"/>
        </w:rPr>
        <w:t>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w:t>
      </w:r>
      <w:r>
        <w:rPr>
          <w:rFonts w:hint="eastAsia" w:cs="仿宋" w:asciiTheme="minorEastAsia" w:hAnsiTheme="minorEastAsia"/>
          <w:sz w:val="24"/>
          <w:lang w:eastAsia="zh-CN"/>
        </w:rPr>
        <w:t>开启记录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w:t>
      </w:r>
      <w:r>
        <w:rPr>
          <w:rFonts w:hint="eastAsia" w:cs="仿宋" w:asciiTheme="minorEastAsia" w:hAnsiTheme="minorEastAsia"/>
          <w:sz w:val="24"/>
          <w:lang w:eastAsia="zh-CN"/>
        </w:rPr>
        <w:t>开启</w:t>
      </w:r>
      <w:r>
        <w:rPr>
          <w:rFonts w:hint="eastAsia" w:cs="仿宋" w:asciiTheme="minorEastAsia" w:hAnsiTheme="minorEastAsia"/>
          <w:sz w:val="24"/>
        </w:rPr>
        <w:t>结果），采购人打印</w:t>
      </w:r>
      <w:r>
        <w:rPr>
          <w:rFonts w:hint="eastAsia" w:cs="仿宋" w:asciiTheme="minorEastAsia" w:hAnsiTheme="minorEastAsia"/>
          <w:sz w:val="24"/>
          <w:lang w:eastAsia="zh-CN"/>
        </w:rPr>
        <w:t>开启记录</w:t>
      </w:r>
      <w:r>
        <w:rPr>
          <w:rFonts w:hint="eastAsia" w:cs="仿宋" w:asciiTheme="minorEastAsia" w:hAnsiTheme="minorEastAsia"/>
          <w:sz w:val="24"/>
        </w:rPr>
        <w:t>，宣布</w:t>
      </w:r>
      <w:r>
        <w:rPr>
          <w:rFonts w:hint="eastAsia" w:cs="仿宋" w:asciiTheme="minorEastAsia" w:hAnsiTheme="minorEastAsia"/>
          <w:sz w:val="24"/>
          <w:lang w:eastAsia="zh-CN"/>
        </w:rPr>
        <w:t>开启</w:t>
      </w:r>
      <w:r>
        <w:rPr>
          <w:rFonts w:hint="eastAsia" w:cs="仿宋" w:asciiTheme="minorEastAsia" w:hAnsiTheme="minorEastAsia"/>
          <w:sz w:val="24"/>
        </w:rPr>
        <w:t>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w:t>
      </w:r>
      <w:r>
        <w:rPr>
          <w:rFonts w:hint="eastAsia" w:cs="仿宋" w:asciiTheme="minorEastAsia" w:hAnsiTheme="minorEastAsia"/>
          <w:sz w:val="24"/>
          <w:lang w:eastAsia="zh-CN"/>
        </w:rPr>
        <w:t>开启</w:t>
      </w:r>
      <w:r>
        <w:rPr>
          <w:rFonts w:hint="eastAsia" w:cs="仿宋" w:asciiTheme="minorEastAsia" w:hAnsiTheme="minorEastAsia"/>
          <w:sz w:val="24"/>
        </w:rPr>
        <w:t>期间供应商因未参与现场</w:t>
      </w:r>
      <w:r>
        <w:rPr>
          <w:rFonts w:hint="eastAsia" w:cs="仿宋" w:asciiTheme="minorEastAsia" w:hAnsiTheme="minorEastAsia"/>
          <w:sz w:val="24"/>
          <w:lang w:eastAsia="zh-CN"/>
        </w:rPr>
        <w:t>开启</w:t>
      </w:r>
      <w:r>
        <w:rPr>
          <w:rFonts w:hint="eastAsia" w:cs="仿宋" w:asciiTheme="minorEastAsia" w:hAnsiTheme="minorEastAsia"/>
          <w:sz w:val="24"/>
        </w:rPr>
        <w:t>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w:t>
      </w:r>
      <w:r>
        <w:rPr>
          <w:rFonts w:hint="eastAsia" w:cs="仿宋" w:asciiTheme="minorEastAsia" w:hAnsiTheme="minorEastAsia"/>
          <w:sz w:val="24"/>
          <w:lang w:eastAsia="zh-CN"/>
        </w:rPr>
        <w:t>开启</w:t>
      </w:r>
      <w:r>
        <w:rPr>
          <w:rFonts w:hint="eastAsia" w:cs="仿宋" w:asciiTheme="minorEastAsia" w:hAnsiTheme="minorEastAsia"/>
          <w:sz w:val="24"/>
        </w:rPr>
        <w:t>过程有异议的，应在</w:t>
      </w:r>
      <w:r>
        <w:rPr>
          <w:rFonts w:hint="eastAsia" w:cs="仿宋" w:asciiTheme="minorEastAsia" w:hAnsiTheme="minorEastAsia"/>
          <w:sz w:val="24"/>
          <w:lang w:eastAsia="zh-CN"/>
        </w:rPr>
        <w:t>开启</w:t>
      </w:r>
      <w:r>
        <w:rPr>
          <w:rFonts w:hint="eastAsia" w:cs="仿宋" w:asciiTheme="minorEastAsia" w:hAnsiTheme="minorEastAsia"/>
          <w:sz w:val="24"/>
        </w:rPr>
        <w:t>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u w:val="single"/>
          <w:lang w:eastAsia="zh-CN"/>
        </w:rPr>
        <w:t>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eastAsia="zh-CN"/>
        </w:rPr>
        <w:t>陈工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4320" w:firstLineChars="18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5040" w:firstLineChars="2100"/>
        <w:rPr>
          <w:rFonts w:cs="仿宋" w:asciiTheme="minorEastAsia" w:hAnsiTheme="minorEastAsia"/>
          <w:b/>
          <w:bCs/>
          <w:sz w:val="24"/>
        </w:rPr>
      </w:pPr>
      <w:r>
        <w:rPr>
          <w:rFonts w:hint="eastAsia" w:cs="仿宋" w:asciiTheme="minorEastAsia" w:hAnsiTheme="minorEastAsia"/>
          <w:sz w:val="24"/>
          <w:lang w:eastAsia="zh-CN"/>
        </w:rPr>
        <w:t>2024年</w:t>
      </w:r>
      <w:r>
        <w:rPr>
          <w:rFonts w:hint="eastAsia" w:cs="仿宋" w:asciiTheme="minorEastAsia" w:hAnsiTheme="minorEastAsia"/>
          <w:sz w:val="24"/>
          <w:lang w:val="en-US" w:eastAsia="zh-CN"/>
        </w:rPr>
        <w:t>04</w:t>
      </w:r>
      <w:r>
        <w:rPr>
          <w:rFonts w:hint="eastAsia" w:cs="仿宋" w:asciiTheme="minorEastAsia" w:hAnsiTheme="minorEastAsia"/>
          <w:sz w:val="24"/>
        </w:rPr>
        <w:t>月</w:t>
      </w:r>
      <w:r>
        <w:rPr>
          <w:rFonts w:hint="eastAsia" w:cs="仿宋" w:asciiTheme="minorEastAsia" w:hAnsiTheme="minorEastAsia"/>
          <w:sz w:val="24"/>
          <w:lang w:val="en-US" w:eastAsia="zh-CN"/>
        </w:rPr>
        <w:t>16</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元，供应商应在</w:t>
            </w:r>
            <w:r>
              <w:rPr>
                <w:rFonts w:hint="eastAsia" w:ascii="宋体" w:hAnsi="宋体" w:eastAsia="宋体" w:cs="宋体"/>
                <w:szCs w:val="21"/>
                <w:lang w:val="en-US" w:eastAsia="zh-CN"/>
              </w:rPr>
              <w:t>响应文件</w:t>
            </w:r>
            <w:r>
              <w:rPr>
                <w:rFonts w:hint="eastAsia" w:ascii="宋体" w:hAnsi="宋体" w:eastAsia="宋体" w:cs="宋体"/>
                <w:szCs w:val="21"/>
                <w:lang w:eastAsia="zh-CN"/>
              </w:rPr>
              <w:t>开启</w:t>
            </w:r>
            <w:r>
              <w:rPr>
                <w:rFonts w:hint="eastAsia" w:ascii="宋体" w:hAnsi="宋体" w:eastAsia="宋体" w:cs="宋体"/>
                <w:szCs w:val="21"/>
              </w:rPr>
              <w:t>截止</w:t>
            </w:r>
            <w:r>
              <w:rPr>
                <w:rFonts w:hint="eastAsia" w:ascii="宋体" w:hAnsi="宋体" w:eastAsia="宋体" w:cs="宋体"/>
                <w:szCs w:val="21"/>
                <w:lang w:val="en-US" w:eastAsia="zh-CN"/>
              </w:rPr>
              <w:t>之</w:t>
            </w:r>
            <w:r>
              <w:rPr>
                <w:rFonts w:hint="eastAsia" w:ascii="宋体" w:hAnsi="宋体" w:eastAsia="宋体" w:cs="宋体"/>
                <w:szCs w:val="21"/>
              </w:rPr>
              <w:t>前以电汇或网银转账方式缴纳至杭州临江环境能源有限公司。同时将银行缴款凭证复印件作为</w:t>
            </w:r>
            <w:r>
              <w:rPr>
                <w:rFonts w:hint="eastAsia" w:ascii="宋体" w:hAnsi="宋体" w:eastAsia="宋体" w:cs="宋体"/>
                <w:szCs w:val="21"/>
                <w:lang w:eastAsia="zh-CN"/>
              </w:rPr>
              <w:t>响应</w:t>
            </w:r>
            <w:r>
              <w:rPr>
                <w:rFonts w:hint="eastAsia" w:ascii="宋体" w:hAnsi="宋体" w:eastAsia="宋体" w:cs="宋体"/>
                <w:szCs w:val="21"/>
              </w:rPr>
              <w:t>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eastAsia="zh-CN"/>
              </w:rPr>
              <w:t>2024年临江公司南方泵采购项目</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r>
        <w:rPr>
          <w:rFonts w:hint="eastAsia" w:cs="仿宋" w:asciiTheme="minorEastAsia" w:hAnsiTheme="minorEastAsia"/>
          <w:sz w:val="24"/>
          <w:lang w:eastAsia="zh-CN"/>
        </w:rPr>
        <w:t>、</w:t>
      </w:r>
      <w:r>
        <w:rPr>
          <w:rFonts w:hint="eastAsia" w:cs="仿宋" w:asciiTheme="minorEastAsia" w:hAnsiTheme="minorEastAsia"/>
          <w:sz w:val="24"/>
          <w:lang w:val="en-US" w:eastAsia="zh-CN"/>
        </w:rPr>
        <w:t>成交单位</w:t>
      </w:r>
      <w:r>
        <w:rPr>
          <w:rFonts w:hint="eastAsia" w:cs="仿宋" w:asciiTheme="minorEastAsia" w:hAnsiTheme="minorEastAsia"/>
          <w:sz w:val="24"/>
        </w:rPr>
        <w:t>。</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3</w:t>
      </w:r>
      <w:r>
        <w:rPr>
          <w:rFonts w:hint="eastAsia" w:cs="仿宋" w:asciiTheme="minorEastAsia" w:hAnsiTheme="minorEastAsia"/>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4</w:t>
      </w:r>
      <w:r>
        <w:rPr>
          <w:rFonts w:hint="eastAsia" w:cs="仿宋" w:asciiTheme="minorEastAsia" w:hAnsiTheme="minorEastAsia"/>
          <w:sz w:val="24"/>
        </w:rPr>
        <w:t xml:space="preserve">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hint="default" w:cs="仿宋" w:asciiTheme="minorEastAsia" w:hAnsiTheme="minorEastAsia" w:eastAsiaTheme="minorEastAsia"/>
          <w:snapToGrid w:val="0"/>
          <w:kern w:val="28"/>
          <w:sz w:val="24"/>
          <w:lang w:val="en-US" w:eastAsia="zh-CN"/>
        </w:rPr>
      </w:pPr>
      <w:r>
        <w:rPr>
          <w:rFonts w:hint="eastAsia" w:cs="仿宋" w:asciiTheme="minorEastAsia" w:hAnsiTheme="minorEastAsia"/>
          <w:snapToGrid w:val="0"/>
          <w:kern w:val="28"/>
          <w:sz w:val="24"/>
        </w:rPr>
        <w:t>详见采购公告中获取询价采购文件的时间期限、</w:t>
      </w:r>
      <w:r>
        <w:rPr>
          <w:rFonts w:hint="eastAsia" w:cs="仿宋" w:asciiTheme="minorEastAsia" w:hAnsiTheme="minorEastAsia"/>
          <w:snapToGrid w:val="0"/>
          <w:kern w:val="28"/>
          <w:sz w:val="24"/>
          <w:lang w:val="en-US" w:eastAsia="zh-CN"/>
        </w:rPr>
        <w:t>地点等</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val="en-US" w:eastAsia="zh-CN"/>
        </w:rPr>
        <w:t>截止</w:t>
      </w:r>
      <w:r>
        <w:rPr>
          <w:rFonts w:hint="eastAsia" w:cs="仿宋" w:asciiTheme="minorEastAsia" w:hAnsiTheme="minorEastAsia"/>
          <w:b/>
          <w:sz w:val="24"/>
          <w:szCs w:val="24"/>
        </w:rPr>
        <w:t>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w:t>
      </w:r>
      <w:r>
        <w:rPr>
          <w:rFonts w:hint="eastAsia" w:cs="仿宋" w:asciiTheme="minorEastAsia" w:hAnsiTheme="minorEastAsia" w:eastAsiaTheme="minorEastAsia"/>
          <w:sz w:val="24"/>
          <w:lang w:eastAsia="zh-CN"/>
        </w:rPr>
        <w:t>开启</w:t>
      </w:r>
      <w:r>
        <w:rPr>
          <w:rFonts w:hint="eastAsia" w:cs="仿宋" w:asciiTheme="minorEastAsia" w:hAnsiTheme="minorEastAsia" w:eastAsiaTheme="minorEastAsia"/>
          <w:sz w:val="24"/>
        </w:rPr>
        <w:t>。供应商不足3家或者缴纳询价保证金少于3家（若有要求）的，不得开启拆封响应文件。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、中国政府采购网《政府采购严重违法失信行为记录名单》</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30天</w:t>
      </w:r>
      <w:r>
        <w:rPr>
          <w:rFonts w:hint="eastAsia" w:cs="仿宋" w:asciiTheme="minorEastAsia" w:hAnsiTheme="minorEastAsia"/>
          <w:kern w:val="0"/>
          <w:sz w:val="24"/>
        </w:rPr>
        <w:t>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eastAsia"/>
          <w:lang w:val="en-US"/>
        </w:rPr>
      </w:pPr>
      <w:r>
        <w:rPr>
          <w:rFonts w:hint="eastAsia"/>
          <w:lang w:val="en-US"/>
        </w:rPr>
        <w:t>杭州临江环境能源有限公司因日常生产需要，需采购</w:t>
      </w:r>
      <w:r>
        <w:rPr>
          <w:rFonts w:hint="eastAsia"/>
          <w:lang w:val="en-US" w:eastAsia="zh-CN"/>
        </w:rPr>
        <w:t>南方泵一批</w:t>
      </w:r>
      <w:r>
        <w:rPr>
          <w:rFonts w:hint="eastAsia"/>
          <w:lang w:val="en-US"/>
        </w:rPr>
        <w:t>，具体如下：</w:t>
      </w:r>
    </w:p>
    <w:tbl>
      <w:tblPr>
        <w:tblStyle w:val="15"/>
        <w:tblW w:w="92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954"/>
        <w:gridCol w:w="1046"/>
        <w:gridCol w:w="2764"/>
        <w:gridCol w:w="731"/>
        <w:gridCol w:w="85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物资名称</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推荐品牌</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型号规格</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冷却污泥泵</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NISF250-200-315/66SKL，流量：630m3/h；扬程24m；功率：55KW</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硝酸盐回流泵</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NISF200-150-250G/22SWL流量：400m3/h；扬程15.5m；功率：22KW</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卸氨水泵</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型号：ZS65-50-200/7.5BSC；流量：50m3/h；扬程32m；功率：7.5KW</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过流部件304，含电机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液碱卸碱泵</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型号：CDMF32-10FSWLC 流量：32m3/h；扬程13m；功率：3KW</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液碱供应泵</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型号：CDMF3-4FSWLC 流量：3m3/h；扬程23m；功率：0.75KW</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液碱制备输送泵</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型号：CDMF10-2FSWLC 流量：10m3/h；扬程16.5m；功率：1.1KW</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立式多级离心泵内芯总成</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泵型号：CDMF20-5FSWLO</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 不包含电机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立式多级离心泵内芯总成</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泵型号：CDMF20-3FSWLO</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 不包含电机</w:t>
            </w:r>
          </w:p>
        </w:tc>
      </w:tr>
    </w:tbl>
    <w:p>
      <w:pPr>
        <w:pStyle w:val="7"/>
        <w:rPr>
          <w:rFonts w:hint="eastAsia"/>
          <w:lang w:val="en-US"/>
        </w:rPr>
      </w:pP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numPr>
          <w:ilvl w:val="0"/>
          <w:numId w:val="1"/>
        </w:numPr>
        <w:ind w:firstLine="480" w:firstLineChars="200"/>
        <w:rPr>
          <w:lang w:val="en-US"/>
        </w:rPr>
      </w:pPr>
      <w:r>
        <w:rPr>
          <w:rFonts w:hint="eastAsia"/>
          <w:lang w:val="en-US"/>
        </w:rPr>
        <w:t>合同期限：</w:t>
      </w:r>
      <w:r>
        <w:rPr>
          <w:rFonts w:hint="eastAsia" w:cs="仿宋" w:asciiTheme="minorEastAsia" w:hAnsiTheme="minorEastAsia"/>
          <w:sz w:val="24"/>
          <w:u w:val="none"/>
          <w:lang w:val="en-US" w:eastAsia="zh-CN"/>
        </w:rPr>
        <w:t>合同期限为一年，合同期内，供应商根据采购人订单需求一次性完成供货</w:t>
      </w:r>
      <w:r>
        <w:rPr>
          <w:rFonts w:hint="eastAsia" w:cs="仿宋" w:asciiTheme="minorEastAsia" w:hAnsiTheme="minorEastAsia"/>
          <w:sz w:val="24"/>
          <w:u w:val="none"/>
        </w:rPr>
        <w:t>。</w:t>
      </w:r>
    </w:p>
    <w:p>
      <w:pPr>
        <w:pStyle w:val="6"/>
        <w:numPr>
          <w:ilvl w:val="0"/>
          <w:numId w:val="1"/>
        </w:numPr>
        <w:ind w:firstLine="480" w:firstLineChars="200"/>
        <w:rPr>
          <w:lang w:val="en-US"/>
        </w:rPr>
      </w:pPr>
      <w:r>
        <w:rPr>
          <w:rFonts w:hint="eastAsia"/>
          <w:lang w:val="en-US"/>
        </w:rPr>
        <w:t>履约方式：</w:t>
      </w:r>
      <w:r>
        <w:rPr>
          <w:rFonts w:hint="eastAsia" w:cs="仿宋" w:asciiTheme="minorEastAsia" w:hAnsiTheme="minorEastAsia"/>
          <w:sz w:val="24"/>
          <w:u w:val="none"/>
        </w:rPr>
        <w:t>在采购人发出送货通知后，</w:t>
      </w:r>
      <w:r>
        <w:rPr>
          <w:rFonts w:hint="eastAsia" w:cs="仿宋" w:asciiTheme="minorEastAsia" w:hAnsiTheme="minorEastAsia"/>
          <w:sz w:val="24"/>
          <w:u w:val="none"/>
          <w:lang w:eastAsia="zh-CN"/>
        </w:rPr>
        <w:t>供应商</w:t>
      </w:r>
      <w:r>
        <w:rPr>
          <w:rFonts w:hint="eastAsia" w:cs="仿宋" w:asciiTheme="minorEastAsia" w:hAnsiTheme="minorEastAsia"/>
          <w:sz w:val="24"/>
          <w:u w:val="none"/>
          <w:lang w:val="en-US" w:eastAsia="zh-CN"/>
        </w:rPr>
        <w:t>40天</w:t>
      </w:r>
      <w:r>
        <w:rPr>
          <w:rFonts w:hint="eastAsia" w:cs="仿宋" w:asciiTheme="minorEastAsia" w:hAnsiTheme="minorEastAsia"/>
          <w:sz w:val="24"/>
          <w:u w:val="none"/>
        </w:rPr>
        <w:t>内将货物</w:t>
      </w:r>
      <w:r>
        <w:rPr>
          <w:rFonts w:hint="eastAsia" w:cs="仿宋" w:asciiTheme="minorEastAsia" w:hAnsiTheme="minorEastAsia"/>
          <w:sz w:val="24"/>
          <w:u w:val="none"/>
          <w:lang w:val="en-US" w:eastAsia="zh-CN"/>
        </w:rPr>
        <w:t>按采购人需求</w:t>
      </w:r>
      <w:r>
        <w:rPr>
          <w:rFonts w:hint="eastAsia" w:cs="仿宋" w:asciiTheme="minorEastAsia" w:hAnsiTheme="minorEastAsia"/>
          <w:sz w:val="24"/>
          <w:u w:val="none"/>
        </w:rPr>
        <w:t>如数送至采购人指定地点</w:t>
      </w:r>
      <w:r>
        <w:rPr>
          <w:rFonts w:hint="eastAsia"/>
          <w:lang w:val="en-US"/>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1.品牌和型号等技术参数满足采购内容中的规格型号/技术要求；</w:t>
      </w:r>
    </w:p>
    <w:p>
      <w:pPr>
        <w:pStyle w:val="6"/>
        <w:ind w:firstLine="480" w:firstLineChars="200"/>
        <w:rPr>
          <w:lang w:val="en-US"/>
        </w:rPr>
      </w:pPr>
      <w:r>
        <w:rPr>
          <w:rFonts w:hint="eastAsia"/>
          <w:lang w:val="en-US"/>
        </w:rPr>
        <w:t>2.</w:t>
      </w:r>
      <w:r>
        <w:rPr>
          <w:rFonts w:hint="eastAsia"/>
          <w:lang w:val="en-US" w:eastAsia="zh-CN"/>
        </w:rPr>
        <w:t>供应商</w:t>
      </w:r>
      <w:r>
        <w:rPr>
          <w:rFonts w:hint="eastAsia"/>
          <w:lang w:val="en-US"/>
        </w:rPr>
        <w:t>提供的</w:t>
      </w:r>
      <w:r>
        <w:rPr>
          <w:rFonts w:hint="eastAsia"/>
          <w:lang w:val="en-US" w:eastAsia="zh-CN"/>
        </w:rPr>
        <w:t>备件</w:t>
      </w:r>
      <w:r>
        <w:rPr>
          <w:rFonts w:hint="eastAsia"/>
          <w:lang w:val="en-US"/>
        </w:rPr>
        <w:t>必须为原厂正品，不得为假冒伪劣产品。</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w:t>
      </w:r>
      <w:r>
        <w:rPr>
          <w:rFonts w:hint="eastAsia"/>
          <w:lang w:val="en-US" w:eastAsia="zh-CN"/>
        </w:rPr>
        <w:t>供应商</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合格证和送货单，配合采购人做好货物的到货数量验收工作，将货物运达采购人指定交货地点后及时书面通知采购人。</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numPr>
          <w:ilvl w:val="0"/>
          <w:numId w:val="2"/>
        </w:numPr>
        <w:ind w:firstLine="480" w:firstLineChars="200"/>
        <w:rPr>
          <w:rFonts w:hint="eastAsia"/>
          <w:lang w:val="en-US"/>
        </w:rPr>
      </w:pPr>
      <w:r>
        <w:rPr>
          <w:rFonts w:hint="eastAsia"/>
          <w:lang w:val="en-US"/>
        </w:rPr>
        <w:t>根据采购人生产计划，确定送货数量要求，</w:t>
      </w:r>
      <w:r>
        <w:rPr>
          <w:rFonts w:hint="eastAsia"/>
          <w:lang w:val="en-US" w:eastAsia="zh-CN"/>
        </w:rPr>
        <w:t>供应商</w:t>
      </w:r>
      <w:r>
        <w:rPr>
          <w:rFonts w:hint="eastAsia"/>
          <w:lang w:val="en-US"/>
        </w:rPr>
        <w:t>负责在接到采购人电话或书面通知后在</w:t>
      </w:r>
      <w:r>
        <w:rPr>
          <w:rFonts w:hint="eastAsia"/>
          <w:lang w:val="en-US" w:eastAsia="zh-CN"/>
        </w:rPr>
        <w:t>40天</w:t>
      </w:r>
      <w:r>
        <w:rPr>
          <w:rFonts w:hint="eastAsia"/>
          <w:lang w:val="en-US"/>
        </w:rPr>
        <w:t>内完成供货。</w:t>
      </w:r>
      <w:r>
        <w:rPr>
          <w:rFonts w:hint="eastAsia"/>
          <w:lang w:val="en-US" w:eastAsia="zh-CN"/>
        </w:rPr>
        <w:t>供应商</w:t>
      </w:r>
      <w:r>
        <w:rPr>
          <w:rFonts w:hint="eastAsia"/>
          <w:lang w:val="en-US"/>
        </w:rPr>
        <w:t>负责卸货，人工费由</w:t>
      </w:r>
      <w:r>
        <w:rPr>
          <w:rFonts w:hint="eastAsia"/>
          <w:lang w:val="en-US" w:eastAsia="zh-CN"/>
        </w:rPr>
        <w:t>供应商</w:t>
      </w:r>
      <w:r>
        <w:rPr>
          <w:rFonts w:hint="eastAsia"/>
          <w:lang w:val="en-US"/>
        </w:rPr>
        <w:t>承担，采购人可免费提供叉车服务。</w:t>
      </w:r>
    </w:p>
    <w:p>
      <w:pPr>
        <w:pStyle w:val="7"/>
        <w:numPr>
          <w:ilvl w:val="0"/>
          <w:numId w:val="2"/>
        </w:numPr>
        <w:rPr>
          <w:lang w:val="en-US"/>
        </w:rPr>
      </w:pPr>
      <w:r>
        <w:rPr>
          <w:rFonts w:hint="eastAsia"/>
          <w:lang w:val="en-US" w:eastAsia="zh-CN"/>
        </w:rPr>
        <w:t>供应商提供的南方泵质保期自验收之日起12个月。</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rFonts w:hint="eastAsia"/>
          <w:lang w:val="en-US"/>
        </w:rPr>
      </w:pPr>
      <w:r>
        <w:rPr>
          <w:rFonts w:hint="eastAsia"/>
          <w:lang w:val="en-US"/>
        </w:rPr>
        <w:t>1.供应商必须满足采购人售后服务要求。如产品使用过程发生问题，供应商须在接到</w:t>
      </w:r>
      <w:r>
        <w:rPr>
          <w:rFonts w:hint="eastAsia"/>
          <w:lang w:val="en-US" w:eastAsia="zh-CN"/>
        </w:rPr>
        <w:t>采购人</w:t>
      </w:r>
      <w:r>
        <w:rPr>
          <w:rFonts w:hint="eastAsia"/>
          <w:lang w:val="en-US"/>
        </w:rPr>
        <w:t>通知后24小时内做出书面答复并提供解决方案。若需要派遣技术人员，则应在接到采购人通知后48小时内派人员到达现场进行免费指导解决问题。</w:t>
      </w:r>
    </w:p>
    <w:p>
      <w:pPr>
        <w:pStyle w:val="6"/>
        <w:ind w:firstLine="480" w:firstLineChars="200"/>
        <w:rPr>
          <w:rFonts w:cs="仿宋" w:asciiTheme="minorEastAsia" w:hAnsiTheme="minorEastAsia"/>
          <w:b/>
          <w:sz w:val="36"/>
          <w:szCs w:val="36"/>
        </w:rPr>
      </w:pPr>
      <w:r>
        <w:rPr>
          <w:rFonts w:hint="eastAsia"/>
          <w:lang w:val="en-US" w:eastAsia="zh-CN"/>
        </w:rPr>
        <w:t>2</w:t>
      </w:r>
      <w:r>
        <w:rPr>
          <w:rFonts w:hint="eastAsia"/>
          <w:lang w:val="en-US"/>
        </w:rPr>
        <w:t>.采购人不再对任何售后服务进行付费。供应商的派遣人员产生的一切费用由供应商承担。</w:t>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3249"/>
      <w:bookmarkEnd w:id="19"/>
      <w:bookmarkStart w:id="20" w:name="_Toc184312120"/>
      <w:bookmarkEnd w:id="20"/>
      <w:bookmarkStart w:id="21" w:name="_Toc184308067"/>
      <w:bookmarkEnd w:id="21"/>
      <w:bookmarkStart w:id="22" w:name="_Toc184312096"/>
      <w:bookmarkEnd w:id="22"/>
      <w:bookmarkStart w:id="23" w:name="_Toc184310306"/>
      <w:bookmarkEnd w:id="23"/>
      <w:bookmarkStart w:id="24" w:name="_Toc184312084"/>
      <w:bookmarkEnd w:id="24"/>
      <w:bookmarkStart w:id="25" w:name="_Toc184314418"/>
      <w:bookmarkEnd w:id="25"/>
      <w:bookmarkStart w:id="26" w:name="_Toc184313268"/>
      <w:bookmarkEnd w:id="26"/>
      <w:bookmarkStart w:id="27" w:name="_Toc184314455"/>
      <w:bookmarkEnd w:id="27"/>
      <w:bookmarkStart w:id="28" w:name="_Toc184312071"/>
      <w:bookmarkEnd w:id="28"/>
      <w:bookmarkStart w:id="29" w:name="_Toc184308072"/>
      <w:bookmarkEnd w:id="29"/>
      <w:bookmarkStart w:id="30" w:name="_Toc184313244"/>
      <w:bookmarkEnd w:id="30"/>
      <w:bookmarkStart w:id="31" w:name="_Toc184313242"/>
      <w:bookmarkEnd w:id="31"/>
      <w:bookmarkStart w:id="32" w:name="_Toc184310311"/>
      <w:bookmarkEnd w:id="32"/>
      <w:bookmarkStart w:id="33" w:name="_Toc184313258"/>
      <w:bookmarkEnd w:id="33"/>
      <w:bookmarkStart w:id="34" w:name="_Toc184310273"/>
      <w:bookmarkEnd w:id="34"/>
      <w:bookmarkStart w:id="35" w:name="_Toc184310291"/>
      <w:bookmarkEnd w:id="35"/>
      <w:bookmarkStart w:id="36" w:name="_Toc184313238"/>
      <w:bookmarkEnd w:id="36"/>
      <w:bookmarkStart w:id="37" w:name="_Toc184310289"/>
      <w:bookmarkEnd w:id="37"/>
      <w:bookmarkStart w:id="38" w:name="_Toc184310337"/>
      <w:bookmarkEnd w:id="38"/>
      <w:bookmarkStart w:id="39" w:name="_Toc184310301"/>
      <w:bookmarkEnd w:id="39"/>
      <w:bookmarkStart w:id="40" w:name="_Toc184314465"/>
      <w:bookmarkEnd w:id="40"/>
      <w:bookmarkStart w:id="41" w:name="_Toc184312072"/>
      <w:bookmarkEnd w:id="41"/>
      <w:bookmarkStart w:id="42" w:name="_Toc184310312"/>
      <w:bookmarkEnd w:id="42"/>
      <w:bookmarkStart w:id="43" w:name="_Toc184314424"/>
      <w:bookmarkEnd w:id="43"/>
      <w:bookmarkStart w:id="44" w:name="_Toc184313261"/>
      <w:bookmarkEnd w:id="44"/>
      <w:bookmarkStart w:id="45" w:name="_Toc184310316"/>
      <w:bookmarkEnd w:id="45"/>
      <w:bookmarkStart w:id="46" w:name="_Toc184308098"/>
      <w:bookmarkEnd w:id="46"/>
      <w:bookmarkStart w:id="47" w:name="_Toc184314423"/>
      <w:bookmarkEnd w:id="47"/>
      <w:bookmarkStart w:id="48" w:name="_Toc184314432"/>
      <w:bookmarkEnd w:id="48"/>
      <w:bookmarkStart w:id="49" w:name="_Toc184313253"/>
      <w:bookmarkEnd w:id="49"/>
      <w:bookmarkStart w:id="50" w:name="_Toc184314471"/>
      <w:bookmarkEnd w:id="50"/>
      <w:bookmarkStart w:id="51" w:name="_Toc184310315"/>
      <w:bookmarkEnd w:id="51"/>
      <w:bookmarkStart w:id="52" w:name="_Toc184312103"/>
      <w:bookmarkEnd w:id="52"/>
      <w:bookmarkStart w:id="53" w:name="_Toc184308084"/>
      <w:bookmarkEnd w:id="53"/>
      <w:bookmarkStart w:id="54" w:name="_Toc184314473"/>
      <w:bookmarkEnd w:id="54"/>
      <w:bookmarkStart w:id="55" w:name="_Toc184310284"/>
      <w:bookmarkEnd w:id="55"/>
      <w:bookmarkStart w:id="56" w:name="_Toc184314440"/>
      <w:bookmarkEnd w:id="56"/>
      <w:bookmarkStart w:id="57" w:name="_Toc184312073"/>
      <w:bookmarkEnd w:id="57"/>
      <w:bookmarkStart w:id="58" w:name="_Toc184312132"/>
      <w:bookmarkEnd w:id="58"/>
      <w:bookmarkStart w:id="59" w:name="_Toc184308061"/>
      <w:bookmarkEnd w:id="59"/>
      <w:bookmarkStart w:id="60" w:name="_Toc184314480"/>
      <w:bookmarkEnd w:id="60"/>
      <w:bookmarkStart w:id="61" w:name="_Toc184312068"/>
      <w:bookmarkEnd w:id="61"/>
      <w:bookmarkStart w:id="62" w:name="_Toc184314425"/>
      <w:bookmarkEnd w:id="62"/>
      <w:bookmarkStart w:id="63" w:name="_Toc184312097"/>
      <w:bookmarkEnd w:id="63"/>
      <w:bookmarkStart w:id="64" w:name="_Toc184308087"/>
      <w:bookmarkEnd w:id="64"/>
      <w:bookmarkStart w:id="65" w:name="_Toc184314462"/>
      <w:bookmarkEnd w:id="65"/>
      <w:bookmarkStart w:id="66" w:name="_Toc184310317"/>
      <w:bookmarkEnd w:id="66"/>
      <w:bookmarkStart w:id="67" w:name="_Toc184312113"/>
      <w:bookmarkEnd w:id="67"/>
      <w:bookmarkStart w:id="68" w:name="_Toc184310307"/>
      <w:bookmarkEnd w:id="68"/>
      <w:bookmarkStart w:id="69" w:name="_Toc184312078"/>
      <w:bookmarkEnd w:id="69"/>
      <w:bookmarkStart w:id="70" w:name="_Toc184308051"/>
      <w:bookmarkEnd w:id="70"/>
      <w:bookmarkStart w:id="71" w:name="_Toc184312137"/>
      <w:bookmarkEnd w:id="71"/>
      <w:bookmarkStart w:id="72" w:name="_Toc184310340"/>
      <w:bookmarkEnd w:id="72"/>
      <w:bookmarkStart w:id="73" w:name="_Toc184314470"/>
      <w:bookmarkEnd w:id="73"/>
      <w:bookmarkStart w:id="74" w:name="_Toc184308105"/>
      <w:bookmarkEnd w:id="74"/>
      <w:bookmarkStart w:id="75" w:name="_Toc184308074"/>
      <w:bookmarkEnd w:id="75"/>
      <w:bookmarkStart w:id="76" w:name="_Toc184308103"/>
      <w:bookmarkEnd w:id="76"/>
      <w:bookmarkStart w:id="77" w:name="_Toc184312100"/>
      <w:bookmarkEnd w:id="77"/>
      <w:bookmarkStart w:id="78" w:name="_Toc184308092"/>
      <w:bookmarkEnd w:id="78"/>
      <w:bookmarkStart w:id="79" w:name="_Toc184312121"/>
      <w:bookmarkEnd w:id="79"/>
      <w:bookmarkStart w:id="80" w:name="_Toc184314469"/>
      <w:bookmarkEnd w:id="80"/>
      <w:bookmarkStart w:id="81" w:name="_Toc184308090"/>
      <w:bookmarkEnd w:id="81"/>
      <w:bookmarkStart w:id="82" w:name="_Toc184308097"/>
      <w:bookmarkEnd w:id="82"/>
      <w:bookmarkStart w:id="83" w:name="_Toc184313281"/>
      <w:bookmarkEnd w:id="83"/>
      <w:bookmarkStart w:id="84" w:name="_Toc184312133"/>
      <w:bookmarkEnd w:id="84"/>
      <w:bookmarkStart w:id="85" w:name="_Toc184313255"/>
      <w:bookmarkEnd w:id="85"/>
      <w:bookmarkStart w:id="86" w:name="_Toc184312074"/>
      <w:bookmarkEnd w:id="86"/>
      <w:bookmarkStart w:id="87" w:name="_Toc184308082"/>
      <w:bookmarkEnd w:id="87"/>
      <w:bookmarkStart w:id="88" w:name="_Toc184308037"/>
      <w:bookmarkEnd w:id="88"/>
      <w:bookmarkStart w:id="89" w:name="_Toc184312088"/>
      <w:bookmarkEnd w:id="89"/>
      <w:bookmarkStart w:id="90" w:name="_Toc184313294"/>
      <w:bookmarkEnd w:id="90"/>
      <w:bookmarkStart w:id="91" w:name="_Toc184310274"/>
      <w:bookmarkEnd w:id="91"/>
      <w:bookmarkStart w:id="92" w:name="_Toc184312128"/>
      <w:bookmarkEnd w:id="92"/>
      <w:bookmarkStart w:id="93" w:name="_Toc184308070"/>
      <w:bookmarkEnd w:id="93"/>
      <w:bookmarkStart w:id="94" w:name="_Toc184313303"/>
      <w:bookmarkEnd w:id="94"/>
      <w:bookmarkStart w:id="95" w:name="_Toc184313270"/>
      <w:bookmarkEnd w:id="95"/>
      <w:bookmarkStart w:id="96" w:name="_Toc184314451"/>
      <w:bookmarkEnd w:id="96"/>
      <w:bookmarkStart w:id="97" w:name="_Toc184314439"/>
      <w:bookmarkEnd w:id="97"/>
      <w:bookmarkStart w:id="98" w:name="_Toc184313308"/>
      <w:bookmarkEnd w:id="98"/>
      <w:bookmarkStart w:id="99" w:name="_Toc184312094"/>
      <w:bookmarkEnd w:id="99"/>
      <w:bookmarkStart w:id="100" w:name="_Toc184308100"/>
      <w:bookmarkEnd w:id="100"/>
      <w:bookmarkStart w:id="101" w:name="_Toc184314434"/>
      <w:bookmarkEnd w:id="101"/>
      <w:bookmarkStart w:id="102" w:name="_Toc184312124"/>
      <w:bookmarkEnd w:id="102"/>
      <w:bookmarkStart w:id="103" w:name="_Toc184310285"/>
      <w:bookmarkEnd w:id="103"/>
      <w:bookmarkStart w:id="104" w:name="_Toc184314411"/>
      <w:bookmarkEnd w:id="104"/>
      <w:bookmarkStart w:id="105" w:name="_Toc184308071"/>
      <w:bookmarkEnd w:id="105"/>
      <w:bookmarkStart w:id="106" w:name="_Toc184313239"/>
      <w:bookmarkEnd w:id="106"/>
      <w:bookmarkStart w:id="107" w:name="_Toc184313245"/>
      <w:bookmarkEnd w:id="107"/>
      <w:bookmarkStart w:id="108" w:name="_Toc184313275"/>
      <w:bookmarkEnd w:id="108"/>
      <w:bookmarkStart w:id="109" w:name="_Toc184308091"/>
      <w:bookmarkEnd w:id="109"/>
      <w:bookmarkStart w:id="110" w:name="_Toc184308062"/>
      <w:bookmarkEnd w:id="110"/>
      <w:bookmarkStart w:id="111" w:name="_Toc184310308"/>
      <w:bookmarkEnd w:id="111"/>
      <w:bookmarkStart w:id="112" w:name="_Toc184308054"/>
      <w:bookmarkEnd w:id="112"/>
      <w:bookmarkStart w:id="113" w:name="_Toc184313266"/>
      <w:bookmarkEnd w:id="113"/>
      <w:bookmarkStart w:id="114" w:name="_Toc184314438"/>
      <w:bookmarkEnd w:id="114"/>
      <w:bookmarkStart w:id="115" w:name="_Toc184308053"/>
      <w:bookmarkEnd w:id="115"/>
      <w:bookmarkStart w:id="116" w:name="_Toc184313276"/>
      <w:bookmarkEnd w:id="116"/>
      <w:bookmarkStart w:id="117" w:name="_Toc184313254"/>
      <w:bookmarkEnd w:id="117"/>
      <w:bookmarkStart w:id="118" w:name="_Toc184313282"/>
      <w:bookmarkEnd w:id="118"/>
      <w:bookmarkStart w:id="119" w:name="_Toc184308089"/>
      <w:bookmarkEnd w:id="119"/>
      <w:bookmarkStart w:id="120" w:name="_Toc184313300"/>
      <w:bookmarkEnd w:id="120"/>
      <w:bookmarkStart w:id="121" w:name="_Toc184312093"/>
      <w:bookmarkEnd w:id="121"/>
      <w:bookmarkStart w:id="122" w:name="_Toc184314446"/>
      <w:bookmarkEnd w:id="122"/>
      <w:bookmarkStart w:id="123" w:name="_Toc184312085"/>
      <w:bookmarkEnd w:id="123"/>
      <w:bookmarkStart w:id="124" w:name="_Toc184312134"/>
      <w:bookmarkEnd w:id="124"/>
      <w:bookmarkStart w:id="125" w:name="_Toc184314450"/>
      <w:bookmarkEnd w:id="125"/>
      <w:bookmarkStart w:id="126" w:name="_Toc184310322"/>
      <w:bookmarkEnd w:id="126"/>
      <w:bookmarkStart w:id="127" w:name="_Toc184308057"/>
      <w:bookmarkEnd w:id="127"/>
      <w:bookmarkStart w:id="128" w:name="_Toc184312081"/>
      <w:bookmarkEnd w:id="128"/>
      <w:bookmarkStart w:id="129" w:name="_Toc184312080"/>
      <w:bookmarkEnd w:id="129"/>
      <w:bookmarkStart w:id="130" w:name="_Toc184308088"/>
      <w:bookmarkEnd w:id="130"/>
      <w:bookmarkStart w:id="131" w:name="_Toc184308081"/>
      <w:bookmarkEnd w:id="131"/>
      <w:bookmarkStart w:id="132" w:name="_Toc184313250"/>
      <w:bookmarkEnd w:id="132"/>
      <w:bookmarkStart w:id="133" w:name="_Toc184312119"/>
      <w:bookmarkEnd w:id="133"/>
      <w:bookmarkStart w:id="134" w:name="_Toc184312082"/>
      <w:bookmarkEnd w:id="134"/>
      <w:bookmarkStart w:id="135" w:name="_Toc184313302"/>
      <w:bookmarkEnd w:id="135"/>
      <w:bookmarkStart w:id="136" w:name="_Toc184308044"/>
      <w:bookmarkEnd w:id="136"/>
      <w:bookmarkStart w:id="137" w:name="_Toc184312117"/>
      <w:bookmarkEnd w:id="137"/>
      <w:bookmarkStart w:id="138" w:name="_Toc184312087"/>
      <w:bookmarkEnd w:id="138"/>
      <w:bookmarkStart w:id="139" w:name="_Toc184314464"/>
      <w:bookmarkEnd w:id="139"/>
      <w:bookmarkStart w:id="140" w:name="_Toc184310310"/>
      <w:bookmarkEnd w:id="140"/>
      <w:bookmarkStart w:id="141" w:name="_Toc184313248"/>
      <w:bookmarkEnd w:id="141"/>
      <w:bookmarkStart w:id="142" w:name="_Toc184310304"/>
      <w:bookmarkEnd w:id="142"/>
      <w:bookmarkStart w:id="143" w:name="_Toc184314412"/>
      <w:bookmarkEnd w:id="143"/>
      <w:bookmarkStart w:id="144" w:name="_Toc184310287"/>
      <w:bookmarkEnd w:id="144"/>
      <w:bookmarkStart w:id="145" w:name="_Toc184308080"/>
      <w:bookmarkEnd w:id="145"/>
      <w:bookmarkStart w:id="146" w:name="_Toc184308077"/>
      <w:bookmarkEnd w:id="146"/>
      <w:bookmarkStart w:id="147" w:name="_Toc184312099"/>
      <w:bookmarkEnd w:id="147"/>
      <w:bookmarkStart w:id="148" w:name="_Toc184314415"/>
      <w:bookmarkEnd w:id="148"/>
      <w:bookmarkStart w:id="149" w:name="_Toc184314420"/>
      <w:bookmarkEnd w:id="149"/>
      <w:bookmarkStart w:id="150" w:name="_Toc184308063"/>
      <w:bookmarkEnd w:id="150"/>
      <w:bookmarkStart w:id="151" w:name="_Toc184308042"/>
      <w:bookmarkEnd w:id="151"/>
      <w:bookmarkStart w:id="152" w:name="_Toc184310288"/>
      <w:bookmarkEnd w:id="152"/>
      <w:bookmarkStart w:id="153" w:name="_Toc184310335"/>
      <w:bookmarkEnd w:id="153"/>
      <w:bookmarkStart w:id="154" w:name="_Toc184308056"/>
      <w:bookmarkEnd w:id="154"/>
      <w:bookmarkStart w:id="155" w:name="_Toc184314477"/>
      <w:bookmarkEnd w:id="155"/>
      <w:bookmarkStart w:id="156" w:name="_Toc184314449"/>
      <w:bookmarkEnd w:id="156"/>
      <w:bookmarkStart w:id="157" w:name="_Toc184310344"/>
      <w:bookmarkEnd w:id="157"/>
      <w:bookmarkStart w:id="158" w:name="_Toc184312135"/>
      <w:bookmarkEnd w:id="158"/>
      <w:bookmarkStart w:id="159" w:name="_Toc184314413"/>
      <w:bookmarkEnd w:id="159"/>
      <w:bookmarkStart w:id="160" w:name="_Toc184314468"/>
      <w:bookmarkEnd w:id="160"/>
      <w:bookmarkStart w:id="161" w:name="_Toc184310332"/>
      <w:bookmarkEnd w:id="161"/>
      <w:bookmarkStart w:id="162" w:name="_Toc184310338"/>
      <w:bookmarkEnd w:id="162"/>
      <w:bookmarkStart w:id="163" w:name="_Toc184314414"/>
      <w:bookmarkEnd w:id="163"/>
      <w:bookmarkStart w:id="164" w:name="_Toc184314454"/>
      <w:bookmarkEnd w:id="164"/>
      <w:bookmarkStart w:id="165" w:name="_Toc184313298"/>
      <w:bookmarkEnd w:id="165"/>
      <w:bookmarkStart w:id="166" w:name="_Toc184314435"/>
      <w:bookmarkEnd w:id="166"/>
      <w:bookmarkStart w:id="167" w:name="_Toc184308065"/>
      <w:bookmarkEnd w:id="167"/>
      <w:bookmarkStart w:id="168" w:name="_Toc184312090"/>
      <w:bookmarkEnd w:id="168"/>
      <w:bookmarkStart w:id="169" w:name="_Toc184312102"/>
      <w:bookmarkEnd w:id="169"/>
      <w:bookmarkStart w:id="170" w:name="_Toc184308085"/>
      <w:bookmarkEnd w:id="170"/>
      <w:bookmarkStart w:id="171" w:name="_Toc184308049"/>
      <w:bookmarkEnd w:id="171"/>
      <w:bookmarkStart w:id="172" w:name="_Toc184313267"/>
      <w:bookmarkEnd w:id="172"/>
      <w:bookmarkStart w:id="173" w:name="_Toc184313307"/>
      <w:bookmarkEnd w:id="173"/>
      <w:bookmarkStart w:id="174" w:name="_Toc184310299"/>
      <w:bookmarkEnd w:id="174"/>
      <w:bookmarkStart w:id="175" w:name="_Toc184312101"/>
      <w:bookmarkEnd w:id="175"/>
      <w:bookmarkStart w:id="176" w:name="_Toc184308043"/>
      <w:bookmarkEnd w:id="176"/>
      <w:bookmarkStart w:id="177" w:name="_Toc184314437"/>
      <w:bookmarkEnd w:id="177"/>
      <w:bookmarkStart w:id="178" w:name="_Toc184313290"/>
      <w:bookmarkEnd w:id="178"/>
      <w:bookmarkStart w:id="179" w:name="_Toc184308106"/>
      <w:bookmarkEnd w:id="179"/>
      <w:bookmarkStart w:id="180" w:name="_Toc184308107"/>
      <w:bookmarkEnd w:id="180"/>
      <w:bookmarkStart w:id="181" w:name="_Toc184313269"/>
      <w:bookmarkEnd w:id="181"/>
      <w:bookmarkStart w:id="182" w:name="_Toc184308093"/>
      <w:bookmarkEnd w:id="182"/>
      <w:bookmarkStart w:id="183" w:name="_Toc184313260"/>
      <w:bookmarkEnd w:id="183"/>
      <w:bookmarkStart w:id="184" w:name="_Toc184308058"/>
      <w:bookmarkEnd w:id="184"/>
      <w:bookmarkStart w:id="185" w:name="_Toc184314448"/>
      <w:bookmarkEnd w:id="185"/>
      <w:bookmarkStart w:id="186" w:name="_Toc184312125"/>
      <w:bookmarkEnd w:id="186"/>
      <w:bookmarkStart w:id="187" w:name="_Toc184314475"/>
      <w:bookmarkEnd w:id="187"/>
      <w:bookmarkStart w:id="188" w:name="_Toc184310325"/>
      <w:bookmarkEnd w:id="188"/>
      <w:bookmarkStart w:id="189" w:name="_Toc184310272"/>
      <w:bookmarkEnd w:id="189"/>
      <w:bookmarkStart w:id="190" w:name="_Toc184312115"/>
      <w:bookmarkEnd w:id="190"/>
      <w:bookmarkStart w:id="191" w:name="_Toc184314478"/>
      <w:bookmarkEnd w:id="191"/>
      <w:bookmarkStart w:id="192" w:name="_Toc184312114"/>
      <w:bookmarkEnd w:id="192"/>
      <w:bookmarkStart w:id="193" w:name="_Toc184308075"/>
      <w:bookmarkEnd w:id="193"/>
      <w:bookmarkStart w:id="194" w:name="_Toc184313262"/>
      <w:bookmarkEnd w:id="194"/>
      <w:bookmarkStart w:id="195" w:name="_Toc184312098"/>
      <w:bookmarkEnd w:id="195"/>
      <w:bookmarkStart w:id="196" w:name="_Toc184313265"/>
      <w:bookmarkEnd w:id="196"/>
      <w:bookmarkStart w:id="197" w:name="_Toc184314463"/>
      <w:bookmarkEnd w:id="197"/>
      <w:bookmarkStart w:id="198" w:name="_Toc184314431"/>
      <w:bookmarkEnd w:id="198"/>
      <w:bookmarkStart w:id="199" w:name="_Toc184312110"/>
      <w:bookmarkEnd w:id="199"/>
      <w:bookmarkStart w:id="200" w:name="_Toc184312104"/>
      <w:bookmarkEnd w:id="200"/>
      <w:bookmarkStart w:id="201" w:name="_Toc184314443"/>
      <w:bookmarkEnd w:id="201"/>
      <w:bookmarkStart w:id="202" w:name="_Toc184310277"/>
      <w:bookmarkEnd w:id="202"/>
      <w:bookmarkStart w:id="203" w:name="_Toc184310286"/>
      <w:bookmarkEnd w:id="203"/>
      <w:bookmarkStart w:id="204" w:name="_Toc184310276"/>
      <w:bookmarkEnd w:id="204"/>
      <w:bookmarkStart w:id="205" w:name="_Toc184308094"/>
      <w:bookmarkEnd w:id="205"/>
      <w:bookmarkStart w:id="206" w:name="_Toc184308099"/>
      <w:bookmarkEnd w:id="206"/>
      <w:bookmarkStart w:id="207" w:name="_Toc184312092"/>
      <w:bookmarkEnd w:id="207"/>
      <w:bookmarkStart w:id="208" w:name="_Toc184314422"/>
      <w:bookmarkEnd w:id="208"/>
      <w:bookmarkStart w:id="209" w:name="_Toc184310324"/>
      <w:bookmarkEnd w:id="209"/>
      <w:bookmarkStart w:id="210" w:name="_Toc184313243"/>
      <w:bookmarkEnd w:id="210"/>
      <w:bookmarkStart w:id="211" w:name="_Toc184314453"/>
      <w:bookmarkEnd w:id="211"/>
      <w:bookmarkStart w:id="212" w:name="_Toc184312131"/>
      <w:bookmarkEnd w:id="212"/>
      <w:bookmarkStart w:id="213" w:name="_Toc184310331"/>
      <w:bookmarkEnd w:id="213"/>
      <w:bookmarkStart w:id="214" w:name="_Toc184308036"/>
      <w:bookmarkEnd w:id="214"/>
      <w:bookmarkStart w:id="215" w:name="_Toc184310309"/>
      <w:bookmarkEnd w:id="215"/>
      <w:bookmarkStart w:id="216" w:name="_Toc184313291"/>
      <w:bookmarkEnd w:id="216"/>
      <w:bookmarkStart w:id="217" w:name="_Toc184310336"/>
      <w:bookmarkEnd w:id="217"/>
      <w:bookmarkStart w:id="218" w:name="_Toc184312136"/>
      <w:bookmarkEnd w:id="218"/>
      <w:bookmarkStart w:id="219" w:name="_Toc184308096"/>
      <w:bookmarkEnd w:id="219"/>
      <w:bookmarkStart w:id="220" w:name="_Toc184308083"/>
      <w:bookmarkEnd w:id="220"/>
      <w:bookmarkStart w:id="221" w:name="_Toc184310333"/>
      <w:bookmarkEnd w:id="221"/>
      <w:bookmarkStart w:id="222" w:name="_Toc184314441"/>
      <w:bookmarkEnd w:id="222"/>
      <w:bookmarkStart w:id="223" w:name="_Toc184314430"/>
      <w:bookmarkEnd w:id="223"/>
      <w:bookmarkStart w:id="224" w:name="_Toc184308068"/>
      <w:bookmarkEnd w:id="224"/>
      <w:bookmarkStart w:id="225" w:name="_Toc184312067"/>
      <w:bookmarkEnd w:id="225"/>
      <w:bookmarkStart w:id="226" w:name="_Toc184310329"/>
      <w:bookmarkEnd w:id="226"/>
      <w:bookmarkStart w:id="227" w:name="_Toc184313295"/>
      <w:bookmarkEnd w:id="227"/>
      <w:bookmarkStart w:id="228" w:name="_Toc184312075"/>
      <w:bookmarkEnd w:id="228"/>
      <w:bookmarkStart w:id="229" w:name="_Toc184313304"/>
      <w:bookmarkEnd w:id="229"/>
      <w:bookmarkStart w:id="230" w:name="_Toc184312116"/>
      <w:bookmarkEnd w:id="230"/>
      <w:bookmarkStart w:id="231" w:name="_Toc184313310"/>
      <w:bookmarkEnd w:id="231"/>
      <w:bookmarkStart w:id="232" w:name="_Toc184313247"/>
      <w:bookmarkEnd w:id="232"/>
      <w:bookmarkStart w:id="233" w:name="_Toc184313256"/>
      <w:bookmarkEnd w:id="233"/>
      <w:bookmarkStart w:id="234" w:name="_Toc184310303"/>
      <w:bookmarkEnd w:id="234"/>
      <w:bookmarkStart w:id="235" w:name="_Toc184313289"/>
      <w:bookmarkEnd w:id="235"/>
      <w:bookmarkStart w:id="236" w:name="_Toc184314474"/>
      <w:bookmarkEnd w:id="236"/>
      <w:bookmarkStart w:id="237" w:name="_Toc184313309"/>
      <w:bookmarkEnd w:id="237"/>
      <w:bookmarkStart w:id="238" w:name="_Toc184310321"/>
      <w:bookmarkEnd w:id="238"/>
      <w:bookmarkStart w:id="239" w:name="_Toc184310290"/>
      <w:bookmarkEnd w:id="239"/>
      <w:bookmarkStart w:id="240" w:name="_Toc184310298"/>
      <w:bookmarkEnd w:id="240"/>
      <w:bookmarkStart w:id="241" w:name="_Toc184310319"/>
      <w:bookmarkEnd w:id="241"/>
      <w:bookmarkStart w:id="242" w:name="_Toc184314433"/>
      <w:bookmarkEnd w:id="242"/>
      <w:bookmarkStart w:id="243" w:name="_Toc184313251"/>
      <w:bookmarkEnd w:id="243"/>
      <w:bookmarkStart w:id="244" w:name="_Toc184312139"/>
      <w:bookmarkEnd w:id="244"/>
      <w:bookmarkStart w:id="245" w:name="_Toc184314481"/>
      <w:bookmarkEnd w:id="245"/>
      <w:bookmarkStart w:id="246" w:name="_Toc184310305"/>
      <w:bookmarkEnd w:id="246"/>
      <w:bookmarkStart w:id="247" w:name="_Toc184310292"/>
      <w:bookmarkEnd w:id="247"/>
      <w:bookmarkStart w:id="248" w:name="_Toc184310280"/>
      <w:bookmarkEnd w:id="248"/>
      <w:bookmarkStart w:id="249" w:name="_Toc184310330"/>
      <w:bookmarkEnd w:id="249"/>
      <w:bookmarkStart w:id="250" w:name="_Toc184308069"/>
      <w:bookmarkEnd w:id="250"/>
      <w:bookmarkStart w:id="251" w:name="_Toc184310328"/>
      <w:bookmarkEnd w:id="251"/>
      <w:bookmarkStart w:id="252" w:name="_Toc184310302"/>
      <w:bookmarkEnd w:id="252"/>
      <w:bookmarkStart w:id="253" w:name="_Toc184312129"/>
      <w:bookmarkEnd w:id="253"/>
      <w:bookmarkStart w:id="254" w:name="_Toc184314458"/>
      <w:bookmarkEnd w:id="254"/>
      <w:bookmarkStart w:id="255" w:name="_Toc184314417"/>
      <w:bookmarkEnd w:id="255"/>
      <w:bookmarkStart w:id="256" w:name="_Toc184308079"/>
      <w:bookmarkEnd w:id="256"/>
      <w:bookmarkStart w:id="257" w:name="_Toc184312091"/>
      <w:bookmarkEnd w:id="257"/>
      <w:bookmarkStart w:id="258" w:name="_Toc184314410"/>
      <w:bookmarkEnd w:id="258"/>
      <w:bookmarkStart w:id="259" w:name="_Toc184313263"/>
      <w:bookmarkEnd w:id="259"/>
      <w:bookmarkStart w:id="260" w:name="_Toc184313272"/>
      <w:bookmarkEnd w:id="260"/>
      <w:bookmarkStart w:id="261" w:name="_Toc184313241"/>
      <w:bookmarkEnd w:id="261"/>
      <w:bookmarkStart w:id="262" w:name="_Toc184314466"/>
      <w:bookmarkEnd w:id="262"/>
      <w:bookmarkStart w:id="263" w:name="_Toc184312076"/>
      <w:bookmarkEnd w:id="263"/>
      <w:bookmarkStart w:id="264" w:name="_Toc184312138"/>
      <w:bookmarkEnd w:id="264"/>
      <w:bookmarkStart w:id="265" w:name="_Toc184308048"/>
      <w:bookmarkEnd w:id="265"/>
      <w:bookmarkStart w:id="266" w:name="_Toc184310300"/>
      <w:bookmarkEnd w:id="266"/>
      <w:bookmarkStart w:id="267" w:name="_Toc184310275"/>
      <w:bookmarkEnd w:id="267"/>
      <w:bookmarkStart w:id="268" w:name="_Toc184308038"/>
      <w:bookmarkEnd w:id="268"/>
      <w:bookmarkStart w:id="269" w:name="_Toc184314447"/>
      <w:bookmarkEnd w:id="269"/>
      <w:bookmarkStart w:id="270" w:name="_Toc184310293"/>
      <w:bookmarkEnd w:id="270"/>
      <w:bookmarkStart w:id="271" w:name="_Toc184310318"/>
      <w:bookmarkEnd w:id="271"/>
      <w:bookmarkStart w:id="272" w:name="_Toc184310279"/>
      <w:bookmarkEnd w:id="272"/>
      <w:bookmarkStart w:id="273" w:name="_Toc184314426"/>
      <w:bookmarkEnd w:id="273"/>
      <w:bookmarkStart w:id="274" w:name="_Toc184313301"/>
      <w:bookmarkEnd w:id="274"/>
      <w:bookmarkStart w:id="275" w:name="_Toc184314467"/>
      <w:bookmarkEnd w:id="275"/>
      <w:bookmarkStart w:id="276" w:name="_Toc184310320"/>
      <w:bookmarkEnd w:id="276"/>
      <w:bookmarkStart w:id="277" w:name="_Toc184313299"/>
      <w:bookmarkEnd w:id="277"/>
      <w:bookmarkStart w:id="278" w:name="_Toc184314479"/>
      <w:bookmarkEnd w:id="278"/>
      <w:bookmarkStart w:id="279" w:name="_Toc184312123"/>
      <w:bookmarkEnd w:id="279"/>
      <w:bookmarkStart w:id="280" w:name="_Toc184310295"/>
      <w:bookmarkEnd w:id="280"/>
      <w:bookmarkStart w:id="281" w:name="_Toc184312106"/>
      <w:bookmarkEnd w:id="281"/>
      <w:bookmarkStart w:id="282" w:name="_Toc184313285"/>
      <w:bookmarkEnd w:id="282"/>
      <w:bookmarkStart w:id="283" w:name="_Toc184308050"/>
      <w:bookmarkEnd w:id="283"/>
      <w:bookmarkStart w:id="284" w:name="_Toc184308066"/>
      <w:bookmarkEnd w:id="284"/>
      <w:bookmarkStart w:id="285" w:name="_Toc184313284"/>
      <w:bookmarkEnd w:id="285"/>
      <w:bookmarkStart w:id="286" w:name="_Toc184313246"/>
      <w:bookmarkEnd w:id="286"/>
      <w:bookmarkStart w:id="287" w:name="_Toc184313277"/>
      <w:bookmarkEnd w:id="287"/>
      <w:bookmarkStart w:id="288" w:name="_Toc184310343"/>
      <w:bookmarkEnd w:id="288"/>
      <w:bookmarkStart w:id="289" w:name="_Toc184310297"/>
      <w:bookmarkEnd w:id="289"/>
      <w:bookmarkStart w:id="290" w:name="_Toc184313280"/>
      <w:bookmarkEnd w:id="290"/>
      <w:bookmarkStart w:id="291" w:name="_Toc184313278"/>
      <w:bookmarkEnd w:id="291"/>
      <w:bookmarkStart w:id="292" w:name="_Toc184308045"/>
      <w:bookmarkEnd w:id="292"/>
      <w:bookmarkStart w:id="293" w:name="_Toc184313296"/>
      <w:bookmarkEnd w:id="293"/>
      <w:bookmarkStart w:id="294" w:name="_Toc184314427"/>
      <w:bookmarkEnd w:id="294"/>
      <w:bookmarkStart w:id="295" w:name="_Toc184312105"/>
      <w:bookmarkEnd w:id="295"/>
      <w:bookmarkStart w:id="296" w:name="_Toc184308055"/>
      <w:bookmarkEnd w:id="296"/>
      <w:bookmarkStart w:id="297" w:name="_Toc184313293"/>
      <w:bookmarkEnd w:id="297"/>
      <w:bookmarkStart w:id="298" w:name="_Toc184314461"/>
      <w:bookmarkEnd w:id="298"/>
      <w:bookmarkStart w:id="299" w:name="_Toc184308059"/>
      <w:bookmarkEnd w:id="299"/>
      <w:bookmarkStart w:id="300" w:name="_Toc184314421"/>
      <w:bookmarkEnd w:id="300"/>
      <w:bookmarkStart w:id="301" w:name="_Toc184313306"/>
      <w:bookmarkEnd w:id="301"/>
      <w:bookmarkStart w:id="302" w:name="_Toc184313240"/>
      <w:bookmarkEnd w:id="302"/>
      <w:bookmarkStart w:id="303" w:name="_Toc184314482"/>
      <w:bookmarkEnd w:id="303"/>
      <w:bookmarkStart w:id="304" w:name="_Toc184313264"/>
      <w:bookmarkEnd w:id="304"/>
      <w:bookmarkStart w:id="305" w:name="_Toc184310313"/>
      <w:bookmarkEnd w:id="305"/>
      <w:bookmarkStart w:id="306" w:name="_Toc184312109"/>
      <w:bookmarkEnd w:id="306"/>
      <w:bookmarkStart w:id="307" w:name="_Toc184312089"/>
      <w:bookmarkEnd w:id="307"/>
      <w:bookmarkStart w:id="308" w:name="_Toc184313286"/>
      <w:bookmarkEnd w:id="308"/>
      <w:bookmarkStart w:id="309" w:name="_Toc184314442"/>
      <w:bookmarkEnd w:id="309"/>
      <w:bookmarkStart w:id="310" w:name="_Toc184308086"/>
      <w:bookmarkEnd w:id="310"/>
      <w:bookmarkStart w:id="311" w:name="_Toc184310294"/>
      <w:bookmarkEnd w:id="311"/>
      <w:bookmarkStart w:id="312" w:name="_Toc184314444"/>
      <w:bookmarkEnd w:id="312"/>
      <w:bookmarkStart w:id="313" w:name="_Toc184308047"/>
      <w:bookmarkEnd w:id="313"/>
      <w:bookmarkStart w:id="314" w:name="_Toc184314472"/>
      <w:bookmarkEnd w:id="314"/>
      <w:bookmarkStart w:id="315" w:name="_Toc184308104"/>
      <w:bookmarkEnd w:id="315"/>
      <w:bookmarkStart w:id="316" w:name="_Toc184313305"/>
      <w:bookmarkEnd w:id="316"/>
      <w:bookmarkStart w:id="317" w:name="_Toc184308060"/>
      <w:bookmarkEnd w:id="317"/>
      <w:bookmarkStart w:id="318" w:name="_Toc184313257"/>
      <w:bookmarkEnd w:id="318"/>
      <w:bookmarkStart w:id="319" w:name="_Toc184312095"/>
      <w:bookmarkEnd w:id="319"/>
      <w:bookmarkStart w:id="320" w:name="_Toc184314445"/>
      <w:bookmarkEnd w:id="320"/>
      <w:bookmarkStart w:id="321" w:name="_Toc184308039"/>
      <w:bookmarkEnd w:id="321"/>
      <w:bookmarkStart w:id="322" w:name="_Toc184310327"/>
      <w:bookmarkEnd w:id="322"/>
      <w:bookmarkStart w:id="323" w:name="_Toc184312107"/>
      <w:bookmarkEnd w:id="323"/>
      <w:bookmarkStart w:id="324" w:name="_Toc184314429"/>
      <w:bookmarkEnd w:id="324"/>
      <w:bookmarkStart w:id="325" w:name="_Toc184308108"/>
      <w:bookmarkEnd w:id="325"/>
      <w:bookmarkStart w:id="326" w:name="_Toc184313274"/>
      <w:bookmarkEnd w:id="326"/>
      <w:bookmarkStart w:id="327" w:name="_Toc184308076"/>
      <w:bookmarkEnd w:id="327"/>
      <w:bookmarkStart w:id="328" w:name="_Toc184312127"/>
      <w:bookmarkEnd w:id="328"/>
      <w:bookmarkStart w:id="329" w:name="_Toc184312118"/>
      <w:bookmarkEnd w:id="329"/>
      <w:bookmarkStart w:id="330" w:name="_Toc184313287"/>
      <w:bookmarkEnd w:id="330"/>
      <w:bookmarkStart w:id="331" w:name="_Toc184310281"/>
      <w:bookmarkEnd w:id="331"/>
      <w:bookmarkStart w:id="332" w:name="_Toc184310314"/>
      <w:bookmarkEnd w:id="332"/>
      <w:bookmarkStart w:id="333" w:name="_Toc184314419"/>
      <w:bookmarkEnd w:id="333"/>
      <w:bookmarkStart w:id="334" w:name="_Toc184314457"/>
      <w:bookmarkEnd w:id="334"/>
      <w:bookmarkStart w:id="335" w:name="_Toc184313259"/>
      <w:bookmarkEnd w:id="335"/>
      <w:bookmarkStart w:id="336" w:name="_Toc184314476"/>
      <w:bookmarkEnd w:id="336"/>
      <w:bookmarkStart w:id="337" w:name="_Toc184310341"/>
      <w:bookmarkEnd w:id="337"/>
      <w:bookmarkStart w:id="338" w:name="_Toc184308102"/>
      <w:bookmarkEnd w:id="338"/>
      <w:bookmarkStart w:id="339" w:name="_Toc184314456"/>
      <w:bookmarkEnd w:id="339"/>
      <w:bookmarkStart w:id="340" w:name="_Toc184310323"/>
      <w:bookmarkEnd w:id="340"/>
      <w:bookmarkStart w:id="341" w:name="_Toc184312130"/>
      <w:bookmarkEnd w:id="341"/>
      <w:bookmarkStart w:id="342" w:name="_Toc184312086"/>
      <w:bookmarkEnd w:id="342"/>
      <w:bookmarkStart w:id="343" w:name="_Toc184310326"/>
      <w:bookmarkEnd w:id="343"/>
      <w:bookmarkStart w:id="344" w:name="_Toc184312077"/>
      <w:bookmarkEnd w:id="344"/>
      <w:bookmarkStart w:id="345" w:name="_Toc184308095"/>
      <w:bookmarkEnd w:id="345"/>
      <w:bookmarkStart w:id="346" w:name="_Toc184312083"/>
      <w:bookmarkEnd w:id="346"/>
      <w:bookmarkStart w:id="347" w:name="_Toc184310339"/>
      <w:bookmarkEnd w:id="347"/>
      <w:bookmarkStart w:id="348" w:name="_Toc184314460"/>
      <w:bookmarkEnd w:id="348"/>
      <w:bookmarkStart w:id="349" w:name="_Toc184313292"/>
      <w:bookmarkEnd w:id="349"/>
      <w:bookmarkStart w:id="350" w:name="_Toc184308041"/>
      <w:bookmarkEnd w:id="350"/>
      <w:bookmarkStart w:id="351" w:name="_Toc184312070"/>
      <w:bookmarkEnd w:id="351"/>
      <w:bookmarkStart w:id="352" w:name="_Toc184308101"/>
      <w:bookmarkEnd w:id="352"/>
      <w:bookmarkStart w:id="353" w:name="_Toc184314459"/>
      <w:bookmarkEnd w:id="353"/>
      <w:bookmarkStart w:id="354" w:name="_Toc184310296"/>
      <w:bookmarkEnd w:id="354"/>
      <w:bookmarkStart w:id="355" w:name="_Toc184312126"/>
      <w:bookmarkEnd w:id="355"/>
      <w:bookmarkStart w:id="356" w:name="_Toc184314428"/>
      <w:bookmarkEnd w:id="356"/>
      <w:bookmarkStart w:id="357" w:name="_Toc184313279"/>
      <w:bookmarkEnd w:id="357"/>
      <w:bookmarkStart w:id="358" w:name="_Toc184308040"/>
      <w:bookmarkEnd w:id="358"/>
      <w:bookmarkStart w:id="359" w:name="_Toc184312112"/>
      <w:bookmarkEnd w:id="359"/>
      <w:bookmarkStart w:id="360" w:name="_Toc184310334"/>
      <w:bookmarkEnd w:id="360"/>
      <w:bookmarkStart w:id="361" w:name="_Toc184310282"/>
      <w:bookmarkEnd w:id="361"/>
      <w:bookmarkStart w:id="362" w:name="_Toc184312108"/>
      <w:bookmarkEnd w:id="362"/>
      <w:bookmarkStart w:id="363" w:name="_Toc184313283"/>
      <w:bookmarkEnd w:id="363"/>
      <w:bookmarkStart w:id="364" w:name="_Toc184313252"/>
      <w:bookmarkEnd w:id="364"/>
      <w:bookmarkStart w:id="365" w:name="_Toc184310342"/>
      <w:bookmarkEnd w:id="365"/>
      <w:bookmarkStart w:id="366" w:name="_Toc184312079"/>
      <w:bookmarkEnd w:id="366"/>
      <w:bookmarkStart w:id="367" w:name="_Toc184313288"/>
      <w:bookmarkEnd w:id="367"/>
      <w:bookmarkStart w:id="368" w:name="_Toc184313273"/>
      <w:bookmarkEnd w:id="368"/>
      <w:bookmarkStart w:id="369" w:name="_Toc184312122"/>
      <w:bookmarkEnd w:id="369"/>
      <w:bookmarkStart w:id="370" w:name="_Toc184313297"/>
      <w:bookmarkEnd w:id="370"/>
      <w:bookmarkStart w:id="371" w:name="_Toc184308046"/>
      <w:bookmarkEnd w:id="371"/>
      <w:bookmarkStart w:id="372" w:name="_Toc184314436"/>
      <w:bookmarkEnd w:id="372"/>
      <w:bookmarkStart w:id="373" w:name="_Toc184308078"/>
      <w:bookmarkEnd w:id="373"/>
      <w:bookmarkStart w:id="374" w:name="_Toc184313271"/>
      <w:bookmarkEnd w:id="374"/>
      <w:bookmarkStart w:id="375" w:name="_Toc184310278"/>
      <w:bookmarkEnd w:id="375"/>
      <w:bookmarkStart w:id="376" w:name="_Toc184308073"/>
      <w:bookmarkEnd w:id="376"/>
      <w:bookmarkStart w:id="377" w:name="_Toc184308064"/>
      <w:bookmarkEnd w:id="377"/>
      <w:bookmarkStart w:id="378" w:name="_Toc184312111"/>
      <w:bookmarkEnd w:id="378"/>
      <w:bookmarkStart w:id="379" w:name="_Toc184314416"/>
      <w:bookmarkEnd w:id="379"/>
      <w:bookmarkStart w:id="380" w:name="_Toc184310283"/>
      <w:bookmarkEnd w:id="380"/>
      <w:bookmarkStart w:id="381" w:name="_Toc184312069"/>
      <w:bookmarkEnd w:id="381"/>
      <w:bookmarkStart w:id="382" w:name="_Toc184314452"/>
      <w:bookmarkEnd w:id="382"/>
      <w:bookmarkStart w:id="383" w:name="_Toc184308052"/>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w:t>
      </w:r>
      <w:r>
        <w:rPr>
          <w:rFonts w:hint="eastAsia" w:ascii="宋体" w:hAnsi="宋体" w:cs="宋体"/>
          <w:kern w:val="0"/>
          <w:sz w:val="24"/>
          <w:lang w:eastAsia="zh-CN"/>
        </w:rPr>
        <w:t>响应</w:t>
      </w:r>
      <w:r>
        <w:rPr>
          <w:rFonts w:hint="eastAsia" w:ascii="宋体" w:hAnsi="宋体" w:cs="宋体"/>
          <w:kern w:val="0"/>
          <w:sz w:val="24"/>
        </w:rPr>
        <w:t>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hint="eastAsia"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spacing w:line="360" w:lineRule="auto"/>
        <w:ind w:firstLine="480" w:firstLineChars="200"/>
      </w:pPr>
      <w:r>
        <w:rPr>
          <w:rFonts w:hint="eastAsia" w:ascii="宋体" w:hAnsi="宋体" w:cs="宋体"/>
          <w:kern w:val="0"/>
          <w:sz w:val="24"/>
          <w:lang w:val="en-US" w:eastAsia="zh-CN"/>
        </w:rPr>
        <w:t>N</w:t>
      </w:r>
      <w:r>
        <w:rPr>
          <w:rFonts w:hint="eastAsia" w:ascii="宋体" w:hAnsi="宋体" w:cs="宋体"/>
          <w:kern w:val="0"/>
          <w:sz w:val="24"/>
        </w:rPr>
        <w:t>未</w:t>
      </w:r>
      <w:r>
        <w:rPr>
          <w:rFonts w:hint="eastAsia" w:ascii="宋体" w:hAnsi="宋体" w:cs="宋体"/>
          <w:kern w:val="0"/>
          <w:sz w:val="24"/>
          <w:lang w:val="en-US" w:eastAsia="zh-CN"/>
        </w:rPr>
        <w:t>按</w:t>
      </w:r>
      <w:r>
        <w:rPr>
          <w:rFonts w:hint="eastAsia" w:ascii="宋体" w:hAnsi="宋体" w:cs="宋体"/>
          <w:kern w:val="0"/>
          <w:sz w:val="24"/>
        </w:rPr>
        <w:t>要求</w:t>
      </w:r>
      <w:r>
        <w:rPr>
          <w:rFonts w:hint="eastAsia" w:ascii="宋体" w:hAnsi="宋体" w:cs="宋体"/>
          <w:kern w:val="0"/>
          <w:sz w:val="24"/>
          <w:lang w:val="en-US" w:eastAsia="zh-CN"/>
        </w:rPr>
        <w:t>提供样品</w:t>
      </w:r>
      <w:r>
        <w:rPr>
          <w:rFonts w:hint="eastAsia" w:ascii="宋体" w:hAnsi="宋体" w:cs="宋体"/>
          <w:kern w:val="0"/>
          <w:sz w:val="24"/>
        </w:rPr>
        <w:t>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3"/>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ind w:firstLine="960" w:firstLineChars="400"/>
        <w:rPr>
          <w:rFonts w:hint="default" w:ascii="宋体" w:hAnsi="宋体" w:cs="宋体" w:eastAsiaTheme="minorEastAsia"/>
          <w:sz w:val="24"/>
          <w:lang w:val="en-US" w:eastAsia="zh-CN"/>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eastAsia="zh-CN"/>
        </w:rPr>
        <w:t>2024年临江公司南方泵采购项目</w:t>
      </w:r>
      <w:r>
        <w:rPr>
          <w:rFonts w:hint="eastAsia" w:ascii="宋体" w:hAnsi="宋体" w:cs="宋体"/>
          <w:sz w:val="24"/>
          <w:u w:val="single"/>
          <w:lang w:val="en-US" w:eastAsia="zh-CN"/>
        </w:rPr>
        <w:t xml:space="preserve">     </w:t>
      </w:r>
    </w:p>
    <w:p>
      <w:pPr>
        <w:spacing w:before="120" w:line="22" w:lineRule="atLeast"/>
        <w:ind w:left="960"/>
        <w:rPr>
          <w:rFonts w:hint="eastAsia"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杭州临江环境能源有限公司          </w:t>
      </w:r>
    </w:p>
    <w:p>
      <w:pPr>
        <w:spacing w:before="120" w:line="22" w:lineRule="atLeast"/>
        <w:rPr>
          <w:rFonts w:hint="eastAsia" w:ascii="宋体" w:hAnsi="宋体" w:cs="宋体" w:eastAsiaTheme="minorEastAsia"/>
          <w:sz w:val="24"/>
          <w:lang w:val="en-US" w:eastAsia="zh-CN"/>
        </w:rPr>
      </w:pPr>
      <w:r>
        <w:rPr>
          <w:rFonts w:hint="eastAsia" w:ascii="宋体" w:hAnsi="宋体" w:cs="宋体"/>
          <w:sz w:val="24"/>
          <w:lang w:val="en-US" w:eastAsia="zh-CN"/>
        </w:rPr>
        <w:t xml:space="preserve"> </w:t>
      </w: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u w:val="single"/>
          <w:lang w:val="en-US" w:eastAsia="zh-CN"/>
        </w:rPr>
        <w:t>2024</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04</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3"/>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w:t>
      </w:r>
      <w:r>
        <w:rPr>
          <w:rFonts w:hint="eastAsia"/>
          <w:lang w:val="en-US" w:eastAsia="zh-CN"/>
        </w:rPr>
        <w:t>三</w:t>
      </w:r>
      <w:r>
        <w:rPr>
          <w:rFonts w:hint="eastAsia"/>
        </w:rPr>
        <w:t>章 廉洁协议……………………………………………………………（页码）</w:t>
      </w:r>
    </w:p>
    <w:p>
      <w:pPr>
        <w:pStyle w:val="9"/>
        <w:spacing w:line="360" w:lineRule="auto"/>
        <w:ind w:firstLine="240" w:firstLineChars="100"/>
        <w:rPr>
          <w:rFonts w:hint="eastAsia"/>
        </w:rPr>
      </w:pPr>
    </w:p>
    <w:p>
      <w:pPr>
        <w:pStyle w:val="23"/>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3"/>
        <w:ind w:left="0" w:leftChars="0" w:firstLine="0" w:firstLineChars="0"/>
        <w:jc w:val="both"/>
        <w:rPr>
          <w:rFonts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2024年临江公司南方泵采购项目</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3029"/>
      <w:bookmarkStart w:id="385" w:name="_Toc2405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sz w:val="24"/>
        </w:rPr>
      </w:pPr>
      <w:bookmarkStart w:id="387" w:name="_Toc24300"/>
      <w:bookmarkStart w:id="388" w:name="_Toc27126"/>
      <w:bookmarkStart w:id="389" w:name="_Toc21295"/>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hint="eastAsia" w:ascii="宋体" w:hAnsi="宋体" w:cs="宋体"/>
          <w:sz w:val="24"/>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tbl>
      <w:tblPr>
        <w:tblStyle w:val="15"/>
        <w:tblW w:w="94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415"/>
        <w:gridCol w:w="1050"/>
        <w:gridCol w:w="2385"/>
        <w:gridCol w:w="630"/>
        <w:gridCol w:w="540"/>
        <w:gridCol w:w="780"/>
        <w:gridCol w:w="105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物资名称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推荐品牌</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型号规格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冷却污泥泵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NISF250-200-315/66SKL，流量：630m3/h；扬程24m；功率：55KW</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硝酸盐回流泵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NISF200-150-250G/22SWL流量：400m3/h；扬程15.5m；功率：22KW</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卸氨水泵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型号：ZS65-50-200/7.5BSC；流量：50m3/h；扬程32m；功率：7.5KW</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过流部件304，含电机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液碱卸碱泵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型号：CDMF32-10FSWLC 流量：32m3/h；扬程13m；功率：3KW</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液碱供应泵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型号：CDMF3-4FSWLC 流量：3m3/h；扬程23m；功率：0.75KW</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液碱制备输送泵</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型号：CDMF10-2FSWLC 流量：10m3/h；扬程16.5m；功率：1.1KW</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立式多级离心泵内芯总成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泵型号：CDMF20-5FSWLO</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 不包含电机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立式多级离心泵内芯总成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泵型号：CDMF20-3FSWLO</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 不包含电机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60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33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bl>
    <w:p>
      <w:pPr>
        <w:spacing w:line="360" w:lineRule="auto"/>
        <w:ind w:firstLine="480" w:firstLineChars="200"/>
      </w:pPr>
      <w:r>
        <w:rPr>
          <w:rFonts w:hint="eastAsia" w:ascii="宋体" w:hAnsi="宋体" w:cs="宋体"/>
          <w:sz w:val="24"/>
        </w:rPr>
        <w:t>4.货物数量</w:t>
      </w:r>
      <w:r>
        <w:rPr>
          <w:rFonts w:hint="eastAsia" w:ascii="宋体" w:hAnsi="宋体" w:cs="宋体"/>
          <w:sz w:val="24"/>
          <w:u w:val="single"/>
        </w:rPr>
        <w:t>：按需供货，按实结算；合同清单数量仅为甲方暂定数量，乙方须按照甲方的采购订单数量供货，不得以超过合同暂定数量为由停止供货。</w:t>
      </w:r>
    </w:p>
    <w:p>
      <w:pPr>
        <w:pStyle w:val="24"/>
        <w:spacing w:before="0" w:beforeAutospacing="0" w:after="0" w:afterAutospacing="0" w:line="360" w:lineRule="auto"/>
        <w:ind w:firstLine="480"/>
        <w:rPr>
          <w:b/>
        </w:rPr>
      </w:pPr>
      <w:bookmarkStart w:id="390" w:name="_Toc1814"/>
      <w:bookmarkStart w:id="391" w:name="_Toc22618"/>
      <w:bookmarkStart w:id="392" w:name="_Toc10340"/>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w:t>
      </w:r>
      <w:r>
        <w:rPr>
          <w:rFonts w:hint="eastAsia" w:ascii="宋体" w:hAnsi="宋体" w:cs="宋体"/>
          <w:sz w:val="24"/>
          <w:u w:val="single"/>
          <w:lang w:val="en-US" w:eastAsia="zh-CN"/>
        </w:rPr>
        <w:t>一年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lang w:val="en-US" w:eastAsia="zh-CN"/>
        </w:rPr>
        <w:t>甲方</w:t>
      </w:r>
      <w:r>
        <w:rPr>
          <w:rFonts w:hint="eastAsia" w:ascii="宋体" w:hAnsi="宋体" w:cs="宋体"/>
          <w:sz w:val="24"/>
          <w:u w:val="single"/>
        </w:rPr>
        <w:t>采购订单</w:t>
      </w:r>
      <w:r>
        <w:rPr>
          <w:rFonts w:hint="eastAsia" w:ascii="宋体" w:hAnsi="宋体" w:cs="宋体"/>
          <w:sz w:val="24"/>
          <w:u w:val="single"/>
          <w:lang w:val="en-US" w:eastAsia="zh-CN"/>
        </w:rPr>
        <w:t>下发后40天内一次性完成供货</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4"/>
        <w:spacing w:before="0" w:beforeAutospacing="0" w:after="0" w:afterAutospacing="0" w:line="360" w:lineRule="auto"/>
        <w:ind w:firstLine="480"/>
        <w:rPr>
          <w:b/>
        </w:rPr>
      </w:pPr>
      <w:r>
        <w:rPr>
          <w:rFonts w:hint="eastAsia"/>
          <w:b/>
        </w:rPr>
        <w:t>四、技术和质量要求</w:t>
      </w:r>
    </w:p>
    <w:p>
      <w:pPr>
        <w:pStyle w:val="24"/>
        <w:spacing w:before="0" w:beforeAutospacing="0" w:after="0" w:afterAutospacing="0" w:line="360" w:lineRule="auto"/>
        <w:ind w:firstLine="480" w:firstLineChars="200"/>
      </w:pPr>
      <w:r>
        <w:rPr>
          <w:rFonts w:hint="eastAsia"/>
        </w:rPr>
        <w:t>1.品牌和型号等技术参数满足采购内容中的规格型号/技术要求，</w:t>
      </w:r>
      <w:r>
        <w:rPr>
          <w:rFonts w:hint="eastAsia"/>
          <w:lang w:val="en-US"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pPr>
      <w:r>
        <w:rPr>
          <w:rFonts w:hint="eastAsia"/>
        </w:rPr>
        <w:t>2.乙方提供的</w:t>
      </w:r>
      <w:r>
        <w:rPr>
          <w:rFonts w:hint="eastAsia"/>
          <w:lang w:eastAsia="zh-CN"/>
        </w:rPr>
        <w:t>南方泵</w:t>
      </w:r>
      <w:r>
        <w:rPr>
          <w:rFonts w:hint="eastAsia"/>
        </w:rPr>
        <w:t>必须为原厂正品，不得为假冒伪劣产品。</w:t>
      </w:r>
    </w:p>
    <w:p>
      <w:pPr>
        <w:spacing w:line="360" w:lineRule="auto"/>
        <w:ind w:firstLine="482" w:firstLineChars="200"/>
        <w:outlineLvl w:val="0"/>
        <w:rPr>
          <w:rFonts w:ascii="宋体" w:hAnsi="宋体" w:cs="宋体"/>
          <w:b/>
          <w:sz w:val="24"/>
        </w:rPr>
      </w:pPr>
      <w:bookmarkStart w:id="393" w:name="_Toc6596"/>
      <w:bookmarkStart w:id="394" w:name="_Toc1125"/>
      <w:bookmarkStart w:id="395" w:name="_Toc14563"/>
      <w:r>
        <w:rPr>
          <w:rFonts w:hint="eastAsia" w:ascii="宋体" w:hAnsi="宋体" w:cs="宋体"/>
          <w:b/>
          <w:sz w:val="24"/>
        </w:rPr>
        <w:t>五、服务要求</w:t>
      </w:r>
    </w:p>
    <w:p>
      <w:pPr>
        <w:pStyle w:val="6"/>
        <w:ind w:firstLine="480" w:firstLineChars="200"/>
        <w:rPr>
          <w:rFonts w:hint="eastAsia"/>
          <w:lang w:val="en-US"/>
        </w:rPr>
      </w:pPr>
      <w:r>
        <w:rPr>
          <w:rFonts w:hint="eastAsia"/>
          <w:lang w:val="en-US"/>
        </w:rPr>
        <w:t>1.根据采购人生产计划，确定送货数量要求，</w:t>
      </w:r>
      <w:r>
        <w:rPr>
          <w:rFonts w:hint="eastAsia"/>
          <w:lang w:val="en-US" w:eastAsia="zh-CN"/>
        </w:rPr>
        <w:t>供应商</w:t>
      </w:r>
      <w:r>
        <w:rPr>
          <w:rFonts w:hint="eastAsia"/>
          <w:lang w:val="en-US"/>
        </w:rPr>
        <w:t>负责在接到</w:t>
      </w:r>
      <w:r>
        <w:rPr>
          <w:rFonts w:hint="eastAsia"/>
          <w:lang w:val="en-US" w:eastAsia="zh-CN"/>
        </w:rPr>
        <w:t>甲方</w:t>
      </w:r>
      <w:r>
        <w:rPr>
          <w:rFonts w:hint="eastAsia"/>
          <w:lang w:val="en-US"/>
        </w:rPr>
        <w:t>电话或书面通知后在</w:t>
      </w:r>
      <w:r>
        <w:rPr>
          <w:rFonts w:hint="eastAsia"/>
          <w:lang w:val="en-US" w:eastAsia="zh-CN"/>
        </w:rPr>
        <w:t>30天</w:t>
      </w:r>
      <w:r>
        <w:rPr>
          <w:rFonts w:hint="eastAsia"/>
          <w:lang w:val="en-US"/>
        </w:rPr>
        <w:t>内完成供货。</w:t>
      </w:r>
      <w:r>
        <w:rPr>
          <w:rFonts w:hint="eastAsia"/>
          <w:lang w:val="en-US" w:eastAsia="zh-CN"/>
        </w:rPr>
        <w:t>乙方</w:t>
      </w:r>
      <w:r>
        <w:rPr>
          <w:rFonts w:hint="eastAsia"/>
          <w:lang w:val="en-US"/>
        </w:rPr>
        <w:t>负责卸货，人工费由</w:t>
      </w:r>
      <w:r>
        <w:rPr>
          <w:rFonts w:hint="eastAsia"/>
          <w:lang w:val="en-US" w:eastAsia="zh-CN"/>
        </w:rPr>
        <w:t>供应商</w:t>
      </w:r>
      <w:r>
        <w:rPr>
          <w:rFonts w:hint="eastAsia"/>
          <w:lang w:val="en-US"/>
        </w:rPr>
        <w:t>承担，</w:t>
      </w:r>
      <w:r>
        <w:rPr>
          <w:rFonts w:hint="eastAsia"/>
          <w:lang w:val="en-US" w:eastAsia="zh-CN"/>
        </w:rPr>
        <w:t>甲方</w:t>
      </w:r>
      <w:r>
        <w:rPr>
          <w:rFonts w:hint="eastAsia"/>
          <w:lang w:val="en-US"/>
        </w:rPr>
        <w:t>可免费提供叉车服务。</w:t>
      </w:r>
    </w:p>
    <w:p>
      <w:pPr>
        <w:pStyle w:val="6"/>
        <w:ind w:firstLine="480" w:firstLineChars="200"/>
        <w:rPr>
          <w:lang w:val="en-US"/>
        </w:rPr>
      </w:pPr>
      <w:r>
        <w:rPr>
          <w:rFonts w:hint="eastAsia"/>
          <w:lang w:val="en-US" w:eastAsia="zh-CN"/>
        </w:rPr>
        <w:t>2.供应商提供的南方泵质保期自验收之日起12个月。</w:t>
      </w:r>
    </w:p>
    <w:p>
      <w:pPr>
        <w:pStyle w:val="6"/>
        <w:ind w:firstLine="480" w:firstLineChars="200"/>
        <w:rPr>
          <w:rFonts w:hint="eastAsia"/>
          <w:u w:val="none"/>
          <w:lang w:val="en-US"/>
        </w:rPr>
      </w:pPr>
      <w:r>
        <w:rPr>
          <w:rFonts w:hint="eastAsia"/>
          <w:u w:val="none"/>
          <w:lang w:val="en-US" w:eastAsia="zh-CN"/>
        </w:rPr>
        <w:t>3</w:t>
      </w:r>
      <w:r>
        <w:rPr>
          <w:rFonts w:hint="eastAsia"/>
          <w:u w:val="none"/>
          <w:lang w:val="en-US"/>
        </w:rPr>
        <w:t>.</w:t>
      </w:r>
      <w:r>
        <w:rPr>
          <w:rFonts w:hint="eastAsia"/>
          <w:u w:val="none"/>
          <w:lang w:val="en-US" w:eastAsia="zh-CN"/>
        </w:rPr>
        <w:t>乙方</w:t>
      </w:r>
      <w:r>
        <w:rPr>
          <w:rFonts w:hint="eastAsia"/>
          <w:u w:val="none"/>
          <w:lang w:val="en-US"/>
        </w:rPr>
        <w:t>必须满足</w:t>
      </w:r>
      <w:r>
        <w:rPr>
          <w:rFonts w:hint="eastAsia"/>
          <w:u w:val="none"/>
          <w:lang w:val="en-US" w:eastAsia="zh-CN"/>
        </w:rPr>
        <w:t>甲方</w:t>
      </w:r>
      <w:r>
        <w:rPr>
          <w:rFonts w:hint="eastAsia"/>
          <w:u w:val="none"/>
          <w:lang w:val="en-US"/>
        </w:rPr>
        <w:t>售后服务要求。如产品使用过程发生问题，</w:t>
      </w:r>
      <w:r>
        <w:rPr>
          <w:rFonts w:hint="eastAsia"/>
          <w:u w:val="none"/>
          <w:lang w:val="en-US" w:eastAsia="zh-CN"/>
        </w:rPr>
        <w:t>乙方</w:t>
      </w:r>
      <w:r>
        <w:rPr>
          <w:rFonts w:hint="eastAsia"/>
          <w:u w:val="none"/>
          <w:lang w:val="en-US"/>
        </w:rPr>
        <w:t>须在接到</w:t>
      </w:r>
      <w:r>
        <w:rPr>
          <w:rFonts w:hint="eastAsia"/>
          <w:u w:val="none"/>
          <w:lang w:val="en-US" w:eastAsia="zh-CN"/>
        </w:rPr>
        <w:t>甲方</w:t>
      </w:r>
      <w:r>
        <w:rPr>
          <w:rFonts w:hint="eastAsia"/>
          <w:u w:val="none"/>
          <w:lang w:val="en-US"/>
        </w:rPr>
        <w:t>通知后24小时内做出书面答复并提供解决方案。若需要派遣技术人员，则应在接到</w:t>
      </w:r>
      <w:r>
        <w:rPr>
          <w:rFonts w:hint="eastAsia"/>
          <w:u w:val="none"/>
          <w:lang w:val="en-US" w:eastAsia="zh-CN"/>
        </w:rPr>
        <w:t>甲方</w:t>
      </w:r>
      <w:r>
        <w:rPr>
          <w:rFonts w:hint="eastAsia"/>
          <w:u w:val="none"/>
          <w:lang w:val="en-US"/>
        </w:rPr>
        <w:t>通知后48小时内派人员到达现场进行免费指导解决问题。</w:t>
      </w:r>
    </w:p>
    <w:p>
      <w:pPr>
        <w:pStyle w:val="6"/>
        <w:ind w:firstLine="480" w:firstLineChars="200"/>
        <w:rPr>
          <w:rFonts w:hint="eastAsia"/>
          <w:u w:val="none"/>
          <w:lang w:val="en-US"/>
        </w:rPr>
      </w:pPr>
      <w:r>
        <w:rPr>
          <w:rFonts w:hint="eastAsia"/>
          <w:u w:val="none"/>
          <w:lang w:val="en-US" w:eastAsia="zh-CN"/>
        </w:rPr>
        <w:t>4</w:t>
      </w:r>
      <w:r>
        <w:rPr>
          <w:rFonts w:hint="eastAsia"/>
          <w:u w:val="none"/>
          <w:lang w:val="en-US"/>
        </w:rPr>
        <w:t>.</w:t>
      </w:r>
      <w:r>
        <w:rPr>
          <w:rFonts w:hint="eastAsia"/>
          <w:u w:val="none"/>
          <w:lang w:val="en-US" w:eastAsia="zh-CN"/>
        </w:rPr>
        <w:t>甲方</w:t>
      </w:r>
      <w:r>
        <w:rPr>
          <w:rFonts w:hint="eastAsia"/>
          <w:u w:val="none"/>
          <w:lang w:val="en-US"/>
        </w:rPr>
        <w:t>不再对任何售后服务进行付费</w:t>
      </w:r>
      <w:r>
        <w:rPr>
          <w:rFonts w:hint="eastAsia"/>
          <w:u w:val="none"/>
          <w:lang w:val="en-US" w:eastAsia="zh-CN"/>
        </w:rPr>
        <w:t>，乙方</w:t>
      </w:r>
      <w:r>
        <w:rPr>
          <w:rFonts w:hint="eastAsia"/>
          <w:u w:val="none"/>
          <w:lang w:val="en-US"/>
        </w:rPr>
        <w:t>的派遣人员产生的一切费用由</w:t>
      </w:r>
      <w:r>
        <w:rPr>
          <w:rFonts w:hint="eastAsia"/>
          <w:u w:val="none"/>
          <w:lang w:val="en-US" w:eastAsia="zh-CN"/>
        </w:rPr>
        <w:t>乙方自行</w:t>
      </w:r>
      <w:r>
        <w:rPr>
          <w:rFonts w:hint="eastAsia"/>
          <w:u w:val="none"/>
          <w:lang w:val="en-US"/>
        </w:rPr>
        <w:t>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pStyle w:val="6"/>
        <w:ind w:firstLine="480" w:firstLineChars="200"/>
        <w:rPr>
          <w:rFonts w:hint="eastAsia"/>
          <w:lang w:val="en-US"/>
        </w:rPr>
      </w:pPr>
      <w:r>
        <w:rPr>
          <w:rFonts w:hint="eastAsia"/>
          <w:lang w:val="en-US" w:eastAsia="zh-CN"/>
        </w:rPr>
        <w:t>1.乙方</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w:t>
      </w:r>
      <w:r>
        <w:rPr>
          <w:rFonts w:hint="eastAsia"/>
          <w:lang w:val="en-US" w:eastAsia="zh-CN"/>
        </w:rPr>
        <w:t>甲方</w:t>
      </w:r>
      <w:r>
        <w:rPr>
          <w:rFonts w:hint="eastAsia"/>
          <w:lang w:val="en-US"/>
        </w:rPr>
        <w:t>做好货物的到货数量</w:t>
      </w:r>
      <w:r>
        <w:rPr>
          <w:rFonts w:hint="eastAsia"/>
          <w:lang w:val="en-US" w:eastAsia="zh-CN"/>
        </w:rPr>
        <w:t>和质量的</w:t>
      </w:r>
      <w:r>
        <w:rPr>
          <w:rFonts w:hint="eastAsia"/>
          <w:lang w:val="en-US"/>
        </w:rPr>
        <w:t>验收工作，将货物运达采购人指定交货地点后及时书面通知</w:t>
      </w:r>
      <w:r>
        <w:rPr>
          <w:rFonts w:hint="eastAsia"/>
          <w:lang w:val="en-US" w:eastAsia="zh-CN"/>
        </w:rPr>
        <w:t>甲方</w:t>
      </w:r>
      <w:r>
        <w:rPr>
          <w:rFonts w:hint="eastAsia"/>
          <w:lang w:val="en-US"/>
        </w:rPr>
        <w:t>。</w:t>
      </w:r>
    </w:p>
    <w:p>
      <w:pPr>
        <w:pStyle w:val="6"/>
        <w:ind w:firstLine="480" w:firstLineChars="200"/>
        <w:rPr>
          <w:rFonts w:eastAsia="宋体"/>
        </w:rPr>
      </w:pPr>
      <w:r>
        <w:rPr>
          <w:rFonts w:hint="eastAsia"/>
          <w:lang w:val="en-US" w:eastAsia="zh-CN"/>
        </w:rPr>
        <w:t>2</w:t>
      </w:r>
      <w:r>
        <w:rPr>
          <w:rFonts w:hint="eastAsia" w:ascii="宋体" w:hAnsi="宋体" w:cs="宋体"/>
          <w:sz w:val="24"/>
        </w:rPr>
        <w:t>.乙方所供货物的品牌、型号等应与合同约定要求一致，若因停产、缺货等因素造成的不一致情况，乙方应出具书面情况说明，并承诺替换的货物质量不低于合同约定要求，品牌</w:t>
      </w:r>
      <w:r>
        <w:rPr>
          <w:rFonts w:hint="eastAsia" w:ascii="宋体" w:hAnsi="宋体" w:cs="宋体"/>
          <w:sz w:val="24"/>
          <w:lang w:val="en-US" w:eastAsia="zh-CN"/>
        </w:rPr>
        <w:t>须</w:t>
      </w:r>
      <w:r>
        <w:rPr>
          <w:rFonts w:hint="eastAsia" w:ascii="宋体" w:hAnsi="宋体" w:cs="宋体"/>
          <w:sz w:val="24"/>
        </w:rPr>
        <w:t>为合同约定的同档次产品。</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rFonts w:hint="default" w:eastAsiaTheme="minorEastAsia"/>
          <w:lang w:val="en-US" w:eastAsia="zh-CN"/>
        </w:rPr>
      </w:pPr>
      <w:r>
        <w:rPr>
          <w:rFonts w:hint="eastAsia"/>
          <w:lang w:val="en-US" w:eastAsia="zh-CN"/>
        </w:rPr>
        <w:t>乙方</w:t>
      </w:r>
      <w:r>
        <w:rPr>
          <w:rFonts w:hint="eastAsia"/>
          <w:lang w:val="en-US"/>
        </w:rPr>
        <w:t>提供</w:t>
      </w:r>
      <w:r>
        <w:rPr>
          <w:rFonts w:hint="eastAsia"/>
          <w:lang w:val="en-US" w:eastAsia="zh-CN"/>
        </w:rPr>
        <w:t>南方泵如现场无法使用，由乙方负责换货，涉及的各种费用由乙方承担。</w:t>
      </w:r>
    </w:p>
    <w:p>
      <w:pPr>
        <w:pStyle w:val="6"/>
        <w:ind w:firstLine="482" w:firstLineChars="200"/>
        <w:rPr>
          <w:rFonts w:eastAsia="宋体"/>
          <w:b/>
        </w:rPr>
      </w:pPr>
      <w:r>
        <w:rPr>
          <w:rFonts w:hint="eastAsia" w:hAnsi="宋体"/>
          <w:b/>
          <w:lang w:val="en-US"/>
        </w:rPr>
        <w:t>八、</w:t>
      </w:r>
      <w:r>
        <w:rPr>
          <w:rFonts w:hint="eastAsia"/>
          <w:b/>
        </w:rPr>
        <w:t>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十、资金支付</w:t>
      </w:r>
    </w:p>
    <w:p>
      <w:pPr>
        <w:pStyle w:val="24"/>
        <w:spacing w:before="0" w:beforeAutospacing="0" w:after="0" w:afterAutospacing="0" w:line="360" w:lineRule="auto"/>
        <w:ind w:firstLine="480"/>
      </w:pPr>
      <w:bookmarkStart w:id="396" w:name="_Toc2846"/>
      <w:bookmarkStart w:id="397" w:name="_Toc32071"/>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i w:val="0"/>
          <w:iCs w:val="0"/>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ascii="宋体" w:hAnsi="宋体" w:cs="宋体" w:eastAsiaTheme="minorEastAsia"/>
          <w:kern w:val="0"/>
          <w:sz w:val="24"/>
          <w:szCs w:val="24"/>
          <w:u w:val="single"/>
          <w:lang w:val="en-US" w:eastAsia="zh-CN" w:bidi="ar-SA"/>
        </w:rPr>
        <w:t xml:space="preserve">/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bookmarkEnd w:id="396"/>
    <w:bookmarkEnd w:id="397"/>
    <w:bookmarkEnd w:id="398"/>
    <w:p>
      <w:pPr>
        <w:pStyle w:val="24"/>
        <w:spacing w:before="0" w:beforeAutospacing="0" w:after="0" w:afterAutospacing="0" w:line="360" w:lineRule="auto"/>
        <w:ind w:firstLine="480"/>
        <w:rPr>
          <w:u w:val="single"/>
        </w:rPr>
      </w:pPr>
      <w:bookmarkStart w:id="399" w:name="_Toc27250"/>
      <w:bookmarkStart w:id="400" w:name="_Toc21423"/>
      <w:bookmarkStart w:id="401" w:name="_Toc19554"/>
      <w:r>
        <w:rPr>
          <w:rFonts w:hint="eastAsia"/>
          <w:u w:val="single"/>
        </w:rPr>
        <w:t>（1） 按月支付，甲方根据乙方上月供货量的检验、验收结果进行结算和支付；经检验、验收合格的，甲方收到乙方提供的增值税专用发票后，甲方在本合同约定时间内完成支付；经检验、验收不合格的，按本合同约定处理；</w:t>
      </w:r>
    </w:p>
    <w:p>
      <w:pPr>
        <w:pStyle w:val="24"/>
        <w:spacing w:before="0" w:beforeAutospacing="0" w:after="0" w:afterAutospacing="0" w:line="360" w:lineRule="auto"/>
        <w:ind w:firstLine="480"/>
        <w:rPr>
          <w:u w:val="single"/>
        </w:rPr>
      </w:pPr>
      <w:r>
        <w:rPr>
          <w:rFonts w:hint="eastAsia"/>
          <w:u w:val="single"/>
        </w:rPr>
        <w:t>（2）按季度支付，甲方根据乙方上季度供货量的检验、验收结果进行结算和支付；经检验、验收合格的，甲方收到乙方提供的增值税专用发票后，甲方在本合同约定时间内完成支付；经检验、验收不合格的，按本合同约定处理 ；</w:t>
      </w:r>
    </w:p>
    <w:p>
      <w:pPr>
        <w:pStyle w:val="24"/>
        <w:spacing w:before="0" w:beforeAutospacing="0" w:after="0" w:afterAutospacing="0" w:line="360" w:lineRule="auto"/>
        <w:ind w:firstLine="480"/>
        <w:rPr>
          <w:rFonts w:hint="eastAsia"/>
          <w:u w:val="single"/>
        </w:rPr>
      </w:pPr>
      <w:r>
        <w:rPr>
          <w:rFonts w:hint="eastAsia"/>
          <w:u w:val="single"/>
        </w:rPr>
        <w:t xml:space="preserve">（3）一次性付款，经甲方验收合格后，甲方收到乙方提供的增值税专用发票后，甲方在本合同约定时间内完成支付。  </w:t>
      </w:r>
    </w:p>
    <w:p>
      <w:pPr>
        <w:pStyle w:val="24"/>
        <w:spacing w:before="0" w:beforeAutospacing="0" w:after="0" w:afterAutospacing="0" w:line="360" w:lineRule="auto"/>
        <w:ind w:firstLine="480"/>
        <w:rPr>
          <w:rFonts w:hint="eastAsia"/>
        </w:rPr>
      </w:pPr>
      <w:r>
        <w:rPr>
          <w:rFonts w:hint="eastAsia"/>
          <w:u w:val="single"/>
        </w:rPr>
        <w:t>（4）其他付款方式：</w:t>
      </w:r>
      <w:r>
        <w:rPr>
          <w:rFonts w:hint="eastAsia"/>
          <w:u w:val="single"/>
          <w:lang w:val="en-US" w:eastAsia="zh-CN"/>
        </w:rPr>
        <w:t>/</w:t>
      </w:r>
      <w:r>
        <w:rPr>
          <w:rFonts w:hint="eastAsia"/>
          <w:u w:val="single"/>
        </w:rPr>
        <w:t xml:space="preserve">  。</w:t>
      </w:r>
    </w:p>
    <w:p>
      <w:pPr>
        <w:spacing w:line="360" w:lineRule="auto"/>
        <w:ind w:firstLine="482" w:firstLineChars="200"/>
        <w:outlineLvl w:val="0"/>
        <w:rPr>
          <w:rFonts w:ascii="宋体" w:hAnsi="宋体" w:cs="宋体"/>
          <w:b/>
          <w:sz w:val="24"/>
        </w:rPr>
      </w:pPr>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 xml:space="preserve"> 30</w:t>
      </w:r>
      <w:r>
        <w:rPr>
          <w:rFonts w:hint="eastAsia" w:ascii="宋体" w:hAnsi="宋体" w:cs="宋体"/>
          <w:sz w:val="24"/>
        </w:rPr>
        <w:t>天的，甲方有权单方解除本合同，并要求乙方一次性承担（</w:t>
      </w:r>
      <w:r>
        <w:rPr>
          <w:rFonts w:hint="eastAsia" w:ascii="宋体" w:hAnsi="宋体" w:cs="宋体"/>
          <w:sz w:val="24"/>
          <w:lang w:eastAsia="zh-CN"/>
        </w:rPr>
        <w:t>□</w:t>
      </w:r>
      <w:r>
        <w:rPr>
          <w:rFonts w:hint="eastAsia" w:ascii="宋体" w:hAnsi="宋体" w:cs="宋体"/>
          <w:sz w:val="24"/>
        </w:rPr>
        <w:t>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 xml:space="preserve">%计算，迟延付款 </w:t>
      </w:r>
      <w:r>
        <w:rPr>
          <w:rFonts w:hint="eastAsia" w:ascii="宋体" w:hAnsi="宋体" w:cs="宋体"/>
          <w:sz w:val="24"/>
          <w:u w:val="single"/>
        </w:rPr>
        <w:t xml:space="preserve"> </w:t>
      </w:r>
      <w:r>
        <w:rPr>
          <w:rFonts w:hint="eastAsia" w:ascii="宋体" w:hAnsi="宋体" w:cs="宋体"/>
          <w:sz w:val="24"/>
          <w:u w:val="single"/>
          <w:lang w:val="en-US" w:eastAsia="zh-CN"/>
        </w:rPr>
        <w:t xml:space="preserve">   30  </w:t>
      </w:r>
      <w:r>
        <w:rPr>
          <w:rFonts w:hint="eastAsia" w:ascii="宋体" w:hAnsi="宋体" w:cs="宋体"/>
          <w:sz w:val="24"/>
          <w:u w:val="single"/>
        </w:rPr>
        <w:t xml:space="preserve"> </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6021"/>
      <w:bookmarkStart w:id="403" w:name="_Toc15583"/>
      <w:bookmarkStart w:id="404" w:name="_Toc28375"/>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iCs w:val="0"/>
          <w:sz w:val="24"/>
          <w:u w:val="single"/>
        </w:rPr>
        <w:t xml:space="preserve"> 2 </w:t>
      </w:r>
      <w:r>
        <w:rPr>
          <w:rFonts w:hint="eastAsia" w:ascii="宋体" w:hAnsi="宋体" w:cs="宋体"/>
          <w:b/>
          <w:i/>
          <w:sz w:val="24"/>
          <w:u w:val="single"/>
        </w:rPr>
        <w:t xml:space="preserve"> </w:t>
      </w:r>
      <w:r>
        <w:rPr>
          <w:rFonts w:hint="eastAsia" w:ascii="宋体" w:hAnsi="宋体" w:cs="宋体"/>
          <w:b/>
          <w:bCs w:val="0"/>
          <w:i w:val="0"/>
          <w:iCs/>
          <w:sz w:val="24"/>
          <w:u w:val="single"/>
          <w:lang w:eastAsia="zh-CN"/>
        </w:rPr>
        <w:t>条</w:t>
      </w:r>
      <w:r>
        <w:rPr>
          <w:rFonts w:hint="eastAsia" w:ascii="宋体" w:hAnsi="宋体" w:cs="宋体"/>
          <w:sz w:val="24"/>
        </w:rPr>
        <w:t>规定的方式解决：</w:t>
      </w:r>
    </w:p>
    <w:p>
      <w:pPr>
        <w:spacing w:line="360" w:lineRule="auto"/>
        <w:ind w:right="-420" w:rightChars="-200" w:firstLine="480" w:firstLineChars="200"/>
        <w:rPr>
          <w:rFonts w:ascii="宋体" w:hAnsi="宋体" w:cs="宋体"/>
          <w:sz w:val="24"/>
        </w:rPr>
      </w:pPr>
      <w:bookmarkStart w:id="405" w:name="_Toc7245"/>
      <w:bookmarkStart w:id="406" w:name="_Toc15322"/>
      <w:bookmarkStart w:id="407" w:name="_Toc11173"/>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3"/>
        <w:ind w:left="0" w:leftChars="0"/>
        <w:jc w:val="left"/>
        <w:rPr>
          <w:rFonts w:hint="eastAsia"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hint="eastAsia" w:ascii="宋体" w:hAnsi="宋体"/>
          <w:lang w:eastAsia="zh-CN"/>
        </w:rPr>
        <w:t>，</w:t>
      </w:r>
      <w:r>
        <w:rPr>
          <w:rFonts w:hint="eastAsia" w:ascii="宋体" w:hAnsi="宋体"/>
          <w:lang w:val="en-US" w:eastAsia="zh-CN"/>
        </w:rPr>
        <w:t>甲乙双方各执2份</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8"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r>
              <w:rPr>
                <w:rFonts w:hint="eastAsia" w:ascii="宋体" w:hAnsi="宋体" w:eastAsia="宋体" w:cs="Times New Roman"/>
                <w:sz w:val="24"/>
                <w:lang w:val="en-US" w:eastAsia="zh-CN"/>
              </w:rPr>
              <w:t>515784896@qq.com</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36"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3"/>
        <w:ind w:left="0" w:leftChars="0" w:firstLine="0" w:firstLineChars="0"/>
        <w:jc w:val="both"/>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eastAsiaTheme="minorEastAsia"/>
          <w:b/>
          <w:szCs w:val="24"/>
          <w:lang w:val="en-US" w:eastAsia="zh-CN"/>
        </w:rPr>
      </w:pPr>
      <w:r>
        <w:rPr>
          <w:rFonts w:hint="eastAsia" w:cs="宋体"/>
          <w:b/>
          <w:szCs w:val="24"/>
          <w:lang w:val="en-US" w:eastAsia="zh-CN"/>
        </w:rPr>
        <w:t>·</w:t>
      </w:r>
    </w:p>
    <w:p>
      <w:pPr>
        <w:pStyle w:val="9"/>
        <w:rPr>
          <w:rFonts w:hint="eastAsia" w:ascii="宋体" w:hAnsi="宋体" w:cs="宋体"/>
          <w:b/>
          <w:szCs w:val="24"/>
        </w:rPr>
      </w:pPr>
    </w:p>
    <w:p>
      <w:pPr>
        <w:pStyle w:val="9"/>
        <w:rPr>
          <w:rFonts w:hint="eastAsia" w:ascii="宋体" w:hAnsi="宋体" w:cs="宋体"/>
          <w:b/>
          <w:szCs w:val="24"/>
        </w:rPr>
      </w:pPr>
    </w:p>
    <w:p>
      <w:pPr>
        <w:pStyle w:val="23"/>
        <w:ind w:left="0" w:leftChars="0" w:firstLine="0" w:firstLineChars="0"/>
        <w:jc w:val="both"/>
        <w:rPr>
          <w:rFonts w:hint="eastAsia"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Toc259093669"/>
      <w:bookmarkStart w:id="409" w:name="_Toc487900349"/>
      <w:bookmarkStart w:id="410" w:name="_Ref467379214"/>
      <w:bookmarkStart w:id="411" w:name="_Toc279701240"/>
      <w:bookmarkStart w:id="412" w:name="_Ref467378404"/>
      <w:bookmarkStart w:id="413" w:name="_Toc28763"/>
      <w:bookmarkStart w:id="414" w:name="_Ref467379225"/>
      <w:bookmarkStart w:id="415" w:name="_Ref467379195"/>
      <w:bookmarkStart w:id="416" w:name="_Ref467379109"/>
      <w:bookmarkStart w:id="417" w:name="_Toc19614"/>
      <w:bookmarkStart w:id="418" w:name="_Ref467379094"/>
      <w:bookmarkStart w:id="419" w:name="_Ref467378499"/>
      <w:bookmarkStart w:id="420" w:name="_Ref467379101"/>
      <w:bookmarkStart w:id="421" w:name="_Toc16917"/>
      <w:bookmarkStart w:id="422" w:name="_Ref467379205"/>
      <w:bookmarkStart w:id="423" w:name="_Ref467378463"/>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13336"/>
      <w:bookmarkStart w:id="428" w:name="_Toc279701241"/>
      <w:bookmarkStart w:id="429" w:name="_Toc259093670"/>
      <w:bookmarkStart w:id="430" w:name="_Toc32504"/>
      <w:bookmarkStart w:id="431" w:name="_Toc27635"/>
      <w:bookmarkStart w:id="432" w:name="_Toc48790035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59093671"/>
      <w:bookmarkStart w:id="434" w:name="_Toc27853"/>
      <w:bookmarkStart w:id="435" w:name="_Toc9829"/>
      <w:bookmarkStart w:id="436" w:name="_Toc31634"/>
      <w:bookmarkStart w:id="437" w:name="_Toc279701242"/>
      <w:bookmarkStart w:id="438" w:name="_Toc48790035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29149"/>
      <w:bookmarkStart w:id="440" w:name="_Toc4194"/>
      <w:bookmarkStart w:id="441" w:name="_Toc11932"/>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w:t>
      </w:r>
      <w:r>
        <w:rPr>
          <w:rFonts w:hint="eastAsia" w:ascii="宋体" w:hAnsi="宋体" w:cs="宋体"/>
          <w:sz w:val="24"/>
          <w:lang w:eastAsia="zh-CN"/>
        </w:rPr>
        <w:t>法律法规</w:t>
      </w:r>
      <w:r>
        <w:rPr>
          <w:rFonts w:hint="eastAsia" w:ascii="宋体" w:hAnsi="宋体" w:cs="宋体"/>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26182"/>
      <w:bookmarkStart w:id="443" w:name="_Toc19074"/>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Ref467379793"/>
      <w:bookmarkStart w:id="447" w:name="_Toc279701247"/>
      <w:bookmarkStart w:id="448" w:name="_Ref467379807"/>
      <w:bookmarkStart w:id="449" w:name="_Toc487900357"/>
      <w:bookmarkStart w:id="450" w:name="_Toc259093676"/>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487900358"/>
      <w:bookmarkStart w:id="453" w:name="_Ref467379923"/>
      <w:bookmarkStart w:id="454" w:name="_Ref467379863"/>
      <w:bookmarkStart w:id="455" w:name="_Toc259093677"/>
      <w:bookmarkStart w:id="456" w:name="_Ref467379852"/>
      <w:bookmarkStart w:id="457" w:name="_Toc279701248"/>
      <w:bookmarkStart w:id="458" w:name="_Toc3225"/>
      <w:bookmarkStart w:id="459" w:name="_Toc16110"/>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487900362"/>
      <w:bookmarkStart w:id="464" w:name="_Toc279701252"/>
      <w:bookmarkStart w:id="465" w:name="_Toc259093681"/>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79701254"/>
      <w:bookmarkStart w:id="469" w:name="_Toc259093683"/>
      <w:bookmarkStart w:id="470" w:name="_Ref467378121"/>
      <w:bookmarkStart w:id="471" w:name="_Toc48790036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279701259"/>
      <w:bookmarkStart w:id="474" w:name="_Toc487900369"/>
      <w:bookmarkStart w:id="475" w:name="_Toc10366"/>
      <w:bookmarkStart w:id="476" w:name="_Toc15237"/>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6508"/>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30676"/>
      <w:bookmarkStart w:id="482" w:name="_Toc689"/>
      <w:bookmarkStart w:id="483" w:name="_Toc487900365"/>
      <w:bookmarkStart w:id="484" w:name="_Toc259093684"/>
      <w:bookmarkStart w:id="485" w:name="_Toc6969"/>
      <w:bookmarkStart w:id="486" w:name="_Toc27970125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16959"/>
      <w:bookmarkStart w:id="488" w:name="_Toc487900368"/>
      <w:bookmarkStart w:id="489" w:name="_Toc7102"/>
      <w:bookmarkStart w:id="490" w:name="_Toc259093687"/>
      <w:bookmarkStart w:id="491" w:name="_Toc8298"/>
      <w:bookmarkStart w:id="492" w:name="_Toc27970125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15387"/>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79701261"/>
      <w:bookmarkStart w:id="497" w:name="_Toc487900371"/>
      <w:bookmarkStart w:id="498" w:name="_Toc259093690"/>
      <w:bookmarkStart w:id="499" w:name="_Toc19604"/>
      <w:bookmarkStart w:id="500" w:name="_Toc11284"/>
      <w:bookmarkStart w:id="501" w:name="_Toc25182"/>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279701262"/>
      <w:bookmarkStart w:id="505" w:name="_Toc30599"/>
      <w:bookmarkStart w:id="506" w:name="_Toc259093691"/>
      <w:bookmarkStart w:id="507" w:name="_Toc4355"/>
      <w:bookmarkStart w:id="508" w:name="_Toc18540"/>
      <w:bookmarkStart w:id="509" w:name="_Toc487900372"/>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515784896@qq.com</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outlineLvl w:val="0"/>
        <w:rPr>
          <w:rFonts w:ascii="宋体" w:hAnsi="宋体" w:cs="宋体"/>
          <w:b/>
          <w:sz w:val="24"/>
        </w:rPr>
      </w:pPr>
      <w:bookmarkStart w:id="510" w:name="_Toc279701263"/>
      <w:bookmarkStart w:id="511" w:name="_Toc10330"/>
      <w:bookmarkStart w:id="512" w:name="_Toc18567"/>
      <w:bookmarkStart w:id="513" w:name="_Toc487900373"/>
      <w:bookmarkStart w:id="514" w:name="_Toc259093692"/>
      <w:bookmarkStart w:id="515" w:name="_Toc127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w:t>
      </w:r>
      <w:r>
        <w:rPr>
          <w:rFonts w:hint="eastAsia" w:ascii="宋体" w:hAnsi="宋体" w:cs="宋体"/>
          <w:sz w:val="24"/>
          <w:lang w:val="en-US" w:eastAsia="zh-CN"/>
        </w:rPr>
        <w:t>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14"/>
        <w:jc w:val="both"/>
        <w:rPr>
          <w:rFonts w:hint="eastAsia" w:ascii="Arial" w:hAnsi="Arial" w:cs="Arial"/>
          <w:sz w:val="32"/>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3"/>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第</w:t>
      </w:r>
      <w:r>
        <w:rPr>
          <w:rFonts w:hint="eastAsia" w:ascii="宋体" w:hAnsi="宋体" w:cs="Times New Roman"/>
          <w:b/>
          <w:szCs w:val="24"/>
          <w:lang w:val="en-US" w:eastAsia="zh-CN"/>
        </w:rPr>
        <w:t>三</w:t>
      </w:r>
      <w:r>
        <w:rPr>
          <w:rFonts w:hint="eastAsia" w:ascii="宋体" w:hAnsi="宋体" w:cs="Times New Roman"/>
          <w:b/>
          <w:szCs w:val="24"/>
        </w:rPr>
        <w:t xml:space="preserve">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w:t>
      </w:r>
      <w:r>
        <w:rPr>
          <w:rFonts w:hint="eastAsia" w:ascii="宋体" w:hAnsi="宋体" w:eastAsia="宋体" w:cs="宋体"/>
          <w:color w:val="000000"/>
          <w:sz w:val="24"/>
          <w:lang w:eastAsia="zh-CN"/>
        </w:rPr>
        <w:t>采购人</w:t>
      </w:r>
      <w:r>
        <w:rPr>
          <w:rFonts w:hint="eastAsia" w:ascii="宋体" w:hAnsi="宋体" w:eastAsia="宋体" w:cs="宋体"/>
          <w:color w:val="000000"/>
          <w:sz w:val="24"/>
        </w:rPr>
        <w:t>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14"/>
      </w:pPr>
    </w:p>
    <w:p/>
    <w:p>
      <w:pPr>
        <w:pStyle w:val="14"/>
      </w:pPr>
    </w:p>
    <w:p/>
    <w:p>
      <w:pPr>
        <w:pStyle w:val="14"/>
      </w:pPr>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2024年临江公司南方泵采购项目</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14"/>
        <w:rPr>
          <w:color w:val="auto"/>
        </w:rPr>
      </w:pPr>
    </w:p>
    <w:p/>
    <w:p>
      <w:pPr>
        <w:pStyle w:val="14"/>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2024年临江公司南方泵采购项目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202404013</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南方泵</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lang w:eastAsia="zh-CN"/>
        </w:rPr>
        <w:t>202404013</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4"/>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w:t>
            </w:r>
            <w:r>
              <w:rPr>
                <w:rFonts w:hint="eastAsia" w:cs="仿宋" w:asciiTheme="minorEastAsia" w:hAnsiTheme="minorEastAsia"/>
                <w:sz w:val="24"/>
                <w:lang w:val="en-US" w:eastAsia="zh-CN"/>
              </w:rPr>
              <w:t>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w:t>
            </w:r>
            <w:r>
              <w:rPr>
                <w:rFonts w:hint="eastAsia" w:ascii="宋体" w:hAnsi="宋体" w:eastAsia="宋体" w:cs="宋体"/>
                <w:sz w:val="24"/>
                <w:lang w:val="en-US" w:eastAsia="zh-CN"/>
              </w:rPr>
              <w:t>管理关</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eastAsia="zh-CN"/>
        </w:rPr>
        <w:t>2024年</w:t>
      </w:r>
      <w:r>
        <w:rPr>
          <w:rFonts w:hint="eastAsia" w:ascii="宋体" w:hAnsi="宋体" w:eastAsia="宋体" w:cs="宋体"/>
          <w:sz w:val="24"/>
        </w:rPr>
        <w:t xml:space="preserve">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2024年临江公司南方泵采购项目</w:t>
      </w:r>
      <w:r>
        <w:rPr>
          <w:rFonts w:hint="eastAsia" w:ascii="宋体" w:hAnsi="宋体" w:eastAsia="宋体" w:cs="宋体"/>
          <w:sz w:val="24"/>
        </w:rPr>
        <w:t>（项目编号：</w:t>
      </w:r>
      <w:r>
        <w:rPr>
          <w:rFonts w:hint="eastAsia" w:ascii="宋体" w:hAnsi="宋体" w:eastAsia="宋体" w:cs="宋体"/>
          <w:sz w:val="24"/>
          <w:u w:val="single"/>
          <w:lang w:eastAsia="zh-CN"/>
        </w:rPr>
        <w:t>202404013</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w:t>
      </w:r>
      <w:r>
        <w:rPr>
          <w:rFonts w:hint="eastAsia" w:ascii="宋体" w:hAnsi="宋体" w:eastAsia="宋体" w:cs="宋体"/>
          <w:sz w:val="24"/>
          <w:lang w:val="en-US" w:eastAsia="zh-CN"/>
        </w:rPr>
        <w:t>缴纳</w:t>
      </w:r>
      <w:r>
        <w:rPr>
          <w:rFonts w:hint="eastAsia" w:ascii="宋体" w:hAnsi="宋体" w:eastAsia="宋体" w:cs="宋体"/>
          <w:sz w:val="24"/>
        </w:rPr>
        <w:t>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南方泵</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202404013</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415"/>
        <w:gridCol w:w="1304"/>
        <w:gridCol w:w="4185"/>
        <w:gridCol w:w="900"/>
        <w:gridCol w:w="840"/>
        <w:gridCol w:w="1155"/>
        <w:gridCol w:w="133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物资名称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推荐品牌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型号规格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总价（元）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冷却污泥泵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NISF250-200-315/66SKL，流量：630m3/h；扬程24m；功率：55KW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硝酸盐回流泵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NISF200-150-250G/22SWL流量：400m3/h；扬程15.5m；功率：22KW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卸氨水泵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型号：ZS65-50-200/7.5BSC；流量：50m3/h；扬程32m；功率：7.5KW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过流部件304，含电机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液碱卸碱泵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型号：CDMF32-10FSWLC 流量：32m3/h；扬程13m；功率：3KW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液碱供应泵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型号：CDMF3-4FSWLC 流量：3m3/h；扬程23m；功率：0.75KW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液碱制备输送泵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型号：CDMF10-2FSWLC 流量：10m3/h；扬程16.5m；功率：1.1KW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过流部件316L材质，含电机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立式多级离心泵内芯总成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泵型号：CDMF20-5FSWLO</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 不包含电机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立式多级离心泵内芯总成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南方泵业</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泵型号：CDMF20-3FSWLO</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 不包含电机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3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w:t>
            </w:r>
          </w:p>
        </w:tc>
        <w:tc>
          <w:tcPr>
            <w:tcW w:w="55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w:t>
            </w:r>
          </w:p>
        </w:tc>
        <w:tc>
          <w:tcPr>
            <w:tcW w:w="55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3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税率</w:t>
            </w:r>
          </w:p>
        </w:tc>
        <w:tc>
          <w:tcPr>
            <w:tcW w:w="55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cs="仿宋" w:asciiTheme="minorEastAsia" w:hAnsiTheme="minorEastAsia"/>
                <w:b/>
                <w:bCs/>
                <w:sz w:val="24"/>
                <w:u w:val="single"/>
              </w:rPr>
              <w:t xml:space="preserve">    </w:t>
            </w:r>
            <w:r>
              <w:rPr>
                <w:rFonts w:hint="eastAsia" w:cs="仿宋" w:asciiTheme="minorEastAsia" w:hAnsiTheme="minorEastAsia"/>
                <w:b/>
                <w:bCs/>
                <w:sz w:val="24"/>
              </w:rPr>
              <w:t xml:space="preserve"> %</w:t>
            </w:r>
          </w:p>
        </w:tc>
      </w:tr>
    </w:tbl>
    <w:p>
      <w:pPr>
        <w:snapToGrid w:val="0"/>
        <w:spacing w:line="360" w:lineRule="auto"/>
        <w:rPr>
          <w:rFonts w:ascii="宋体" w:hAnsi="宋体" w:cs="宋体"/>
          <w:kern w:val="0"/>
          <w:sz w:val="24"/>
          <w:lang w:val="zh-CN"/>
        </w:rPr>
      </w:pPr>
      <w:r>
        <w:rPr>
          <w:rFonts w:hint="eastAsia" w:cs="仿宋" w:asciiTheme="minorEastAsia" w:hAnsiTheme="minorEastAsia"/>
          <w:b/>
          <w:kern w:val="0"/>
          <w:sz w:val="24"/>
          <w:lang w:val="zh-CN"/>
        </w:rPr>
        <w:t>注：</w:t>
      </w: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pPr>
      <w:r>
        <w:rPr>
          <w:rFonts w:hint="eastAsia" w:ascii="宋体" w:hAnsi="宋体" w:cs="宋体"/>
          <w:kern w:val="0"/>
          <w:sz w:val="24"/>
          <w:lang w:val="zh-CN"/>
        </w:rPr>
        <w:t>3、特别提示：采购人将对项目名称和项目编号，成交供应商名称、成交金额予以公示。</w:t>
      </w: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2024年临江公司南方泵采购项目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202404013</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w:t>
      </w:r>
      <w:r>
        <w:rPr>
          <w:rFonts w:cs="仿宋" w:asciiTheme="minorEastAsia" w:hAnsiTheme="minorEastAsia"/>
          <w:sz w:val="24"/>
        </w:rPr>
        <w:t>临江公司</w:t>
      </w:r>
      <w:r>
        <w:rPr>
          <w:rFonts w:hint="eastAsia" w:cs="仿宋" w:asciiTheme="minorEastAsia" w:hAnsiTheme="minorEastAsia"/>
          <w:sz w:val="24"/>
          <w:lang w:val="en-US" w:eastAsia="zh-CN"/>
        </w:rPr>
        <w:t>南方泵采购项目</w:t>
      </w:r>
      <w:r>
        <w:rPr>
          <w:rFonts w:hint="eastAsia" w:cs="仿宋" w:asciiTheme="minorEastAsia" w:hAnsiTheme="minorEastAsia"/>
          <w:sz w:val="24"/>
        </w:rPr>
        <w:t>【项目编号：</w:t>
      </w:r>
      <w:r>
        <w:rPr>
          <w:rFonts w:hint="eastAsia" w:ascii="宋体" w:hAnsi="宋体" w:cs="宋体"/>
          <w:sz w:val="24"/>
          <w:u w:val="single"/>
          <w:lang w:eastAsia="zh-CN"/>
        </w:rPr>
        <w:t>202404013</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p>
      <w:pPr>
        <w:pStyle w:val="7"/>
      </w:pPr>
    </w:p>
    <w:p>
      <w:pPr>
        <w:pStyle w:val="8"/>
      </w:pPr>
    </w:p>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2024年临江公司</w:t>
      </w:r>
      <w:r>
        <w:rPr>
          <w:rFonts w:hint="eastAsia" w:ascii="宋体" w:hAnsi="宋体" w:cs="宋体"/>
          <w:sz w:val="24"/>
          <w:u w:val="single"/>
          <w:lang w:eastAsia="zh-CN"/>
        </w:rPr>
        <w:t>南方泵</w:t>
      </w:r>
      <w:r>
        <w:rPr>
          <w:rFonts w:hint="eastAsia" w:ascii="宋体" w:hAnsi="宋体" w:cs="宋体"/>
          <w:sz w:val="24"/>
          <w:u w:val="single"/>
        </w:rPr>
        <w:t>采购项目（项目编号：</w:t>
      </w:r>
      <w:r>
        <w:rPr>
          <w:rFonts w:hint="eastAsia" w:ascii="宋体" w:hAnsi="宋体" w:cs="宋体"/>
          <w:sz w:val="24"/>
          <w:u w:val="single"/>
          <w:lang w:eastAsia="zh-CN"/>
        </w:rPr>
        <w:t>202404013</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6"/>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14"/>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120D4742"/>
    <w:multiLevelType w:val="singleLevel"/>
    <w:tmpl w:val="120D4742"/>
    <w:lvl w:ilvl="0" w:tentative="0">
      <w:start w:val="1"/>
      <w:numFmt w:val="decimal"/>
      <w:lvlText w:val="%1."/>
      <w:lvlJc w:val="left"/>
      <w:pPr>
        <w:tabs>
          <w:tab w:val="left" w:pos="312"/>
        </w:tabs>
      </w:pPr>
    </w:lvl>
  </w:abstractNum>
  <w:abstractNum w:abstractNumId="3">
    <w:nsid w:val="7A28FE7D"/>
    <w:multiLevelType w:val="singleLevel"/>
    <w:tmpl w:val="7A28FE7D"/>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004E73AF"/>
    <w:rsid w:val="00211F61"/>
    <w:rsid w:val="00466F38"/>
    <w:rsid w:val="004E73AF"/>
    <w:rsid w:val="00505519"/>
    <w:rsid w:val="00816543"/>
    <w:rsid w:val="00935EC2"/>
    <w:rsid w:val="00C3645A"/>
    <w:rsid w:val="00D00625"/>
    <w:rsid w:val="00E81C9E"/>
    <w:rsid w:val="013853AC"/>
    <w:rsid w:val="023E1286"/>
    <w:rsid w:val="030669ED"/>
    <w:rsid w:val="032B7E17"/>
    <w:rsid w:val="034B5FC8"/>
    <w:rsid w:val="04E634F4"/>
    <w:rsid w:val="05B622F4"/>
    <w:rsid w:val="06803F38"/>
    <w:rsid w:val="07013F3A"/>
    <w:rsid w:val="078B333A"/>
    <w:rsid w:val="07C24B12"/>
    <w:rsid w:val="07D15ABF"/>
    <w:rsid w:val="087E795F"/>
    <w:rsid w:val="09EC7123"/>
    <w:rsid w:val="09ED56C9"/>
    <w:rsid w:val="0B530D41"/>
    <w:rsid w:val="0BA87D59"/>
    <w:rsid w:val="0BF7590B"/>
    <w:rsid w:val="0BFE313E"/>
    <w:rsid w:val="0C492847"/>
    <w:rsid w:val="0CF31D21"/>
    <w:rsid w:val="0D89320B"/>
    <w:rsid w:val="0D8B0B2E"/>
    <w:rsid w:val="0DD202BF"/>
    <w:rsid w:val="0F111837"/>
    <w:rsid w:val="0F2F6501"/>
    <w:rsid w:val="0F81598B"/>
    <w:rsid w:val="0FB91E94"/>
    <w:rsid w:val="1135067D"/>
    <w:rsid w:val="11B04EDA"/>
    <w:rsid w:val="11C46A46"/>
    <w:rsid w:val="12E110C3"/>
    <w:rsid w:val="143E2438"/>
    <w:rsid w:val="15CB2DA0"/>
    <w:rsid w:val="16135A37"/>
    <w:rsid w:val="166F3635"/>
    <w:rsid w:val="16806E74"/>
    <w:rsid w:val="17AF353E"/>
    <w:rsid w:val="185870FA"/>
    <w:rsid w:val="185A544F"/>
    <w:rsid w:val="18890233"/>
    <w:rsid w:val="190D49C0"/>
    <w:rsid w:val="198737C7"/>
    <w:rsid w:val="19976A31"/>
    <w:rsid w:val="19DC6BDA"/>
    <w:rsid w:val="1AA56FDE"/>
    <w:rsid w:val="1B1B25BA"/>
    <w:rsid w:val="1B7913A6"/>
    <w:rsid w:val="1C99520D"/>
    <w:rsid w:val="1D61352C"/>
    <w:rsid w:val="1D882867"/>
    <w:rsid w:val="1DFA0457"/>
    <w:rsid w:val="1E5F5CBE"/>
    <w:rsid w:val="1E8307F5"/>
    <w:rsid w:val="1F457921"/>
    <w:rsid w:val="20D12777"/>
    <w:rsid w:val="20FB672E"/>
    <w:rsid w:val="213339C4"/>
    <w:rsid w:val="21677697"/>
    <w:rsid w:val="228D26CE"/>
    <w:rsid w:val="22916FA5"/>
    <w:rsid w:val="23C64579"/>
    <w:rsid w:val="247C6E9E"/>
    <w:rsid w:val="25650E5F"/>
    <w:rsid w:val="26010880"/>
    <w:rsid w:val="26F15921"/>
    <w:rsid w:val="28D92620"/>
    <w:rsid w:val="294E0F60"/>
    <w:rsid w:val="2987716A"/>
    <w:rsid w:val="29AE18A7"/>
    <w:rsid w:val="2A6366FF"/>
    <w:rsid w:val="2B3D5BF4"/>
    <w:rsid w:val="2C4141D8"/>
    <w:rsid w:val="2C950AFD"/>
    <w:rsid w:val="2F4D3609"/>
    <w:rsid w:val="2F5836E9"/>
    <w:rsid w:val="30062480"/>
    <w:rsid w:val="30556F21"/>
    <w:rsid w:val="308C5F1F"/>
    <w:rsid w:val="31111553"/>
    <w:rsid w:val="314B6E80"/>
    <w:rsid w:val="32843E96"/>
    <w:rsid w:val="32EC2577"/>
    <w:rsid w:val="34454474"/>
    <w:rsid w:val="34AF40BC"/>
    <w:rsid w:val="36162BCB"/>
    <w:rsid w:val="364530C9"/>
    <w:rsid w:val="36A71B58"/>
    <w:rsid w:val="37103BA1"/>
    <w:rsid w:val="37514AF4"/>
    <w:rsid w:val="377C0298"/>
    <w:rsid w:val="37B04D36"/>
    <w:rsid w:val="39C31C6C"/>
    <w:rsid w:val="3A6303AE"/>
    <w:rsid w:val="3A993EAE"/>
    <w:rsid w:val="3AB61186"/>
    <w:rsid w:val="3C283344"/>
    <w:rsid w:val="3C485F9D"/>
    <w:rsid w:val="3C7C70D7"/>
    <w:rsid w:val="3C940DD1"/>
    <w:rsid w:val="3E0C6463"/>
    <w:rsid w:val="3EE43BF5"/>
    <w:rsid w:val="403E57B7"/>
    <w:rsid w:val="411A0F39"/>
    <w:rsid w:val="415A5C88"/>
    <w:rsid w:val="41CE08E1"/>
    <w:rsid w:val="42112513"/>
    <w:rsid w:val="433C7ACC"/>
    <w:rsid w:val="4344634C"/>
    <w:rsid w:val="435518AD"/>
    <w:rsid w:val="43C04259"/>
    <w:rsid w:val="44A040E0"/>
    <w:rsid w:val="44C67F95"/>
    <w:rsid w:val="4557347D"/>
    <w:rsid w:val="4559568A"/>
    <w:rsid w:val="45915308"/>
    <w:rsid w:val="45A47533"/>
    <w:rsid w:val="46BC402D"/>
    <w:rsid w:val="472961BF"/>
    <w:rsid w:val="475528CD"/>
    <w:rsid w:val="47B265AF"/>
    <w:rsid w:val="488F542F"/>
    <w:rsid w:val="4916491B"/>
    <w:rsid w:val="496717C4"/>
    <w:rsid w:val="4A063A4F"/>
    <w:rsid w:val="4A875AD1"/>
    <w:rsid w:val="4AE27CAC"/>
    <w:rsid w:val="4B1B2ECF"/>
    <w:rsid w:val="4B2E6F39"/>
    <w:rsid w:val="4B6E282F"/>
    <w:rsid w:val="4BAC48C9"/>
    <w:rsid w:val="4BB27DC6"/>
    <w:rsid w:val="4C131CA3"/>
    <w:rsid w:val="4C832138"/>
    <w:rsid w:val="4CEA2347"/>
    <w:rsid w:val="4D19039B"/>
    <w:rsid w:val="4D243428"/>
    <w:rsid w:val="4D2D7FC0"/>
    <w:rsid w:val="4E1E04FA"/>
    <w:rsid w:val="4EFA25EF"/>
    <w:rsid w:val="4F9246A8"/>
    <w:rsid w:val="4FC275AB"/>
    <w:rsid w:val="4FEB08B0"/>
    <w:rsid w:val="50A13664"/>
    <w:rsid w:val="51937E4D"/>
    <w:rsid w:val="52383592"/>
    <w:rsid w:val="523875F5"/>
    <w:rsid w:val="52506204"/>
    <w:rsid w:val="53FA1DF3"/>
    <w:rsid w:val="54AB2D04"/>
    <w:rsid w:val="557B35BC"/>
    <w:rsid w:val="565C1CF5"/>
    <w:rsid w:val="56E235EF"/>
    <w:rsid w:val="571F3A0C"/>
    <w:rsid w:val="57DC32D5"/>
    <w:rsid w:val="57F2034A"/>
    <w:rsid w:val="58207565"/>
    <w:rsid w:val="58235318"/>
    <w:rsid w:val="59121C77"/>
    <w:rsid w:val="59DE0E09"/>
    <w:rsid w:val="59DF6851"/>
    <w:rsid w:val="5A283DD0"/>
    <w:rsid w:val="5ACD76EE"/>
    <w:rsid w:val="5AD36B10"/>
    <w:rsid w:val="5B366E46"/>
    <w:rsid w:val="5B3D7F5F"/>
    <w:rsid w:val="5B460326"/>
    <w:rsid w:val="5C9A592C"/>
    <w:rsid w:val="5E871D8E"/>
    <w:rsid w:val="5F0279C4"/>
    <w:rsid w:val="5F687544"/>
    <w:rsid w:val="5F944466"/>
    <w:rsid w:val="60844C26"/>
    <w:rsid w:val="60A9029A"/>
    <w:rsid w:val="60FA16F8"/>
    <w:rsid w:val="6139287F"/>
    <w:rsid w:val="62C642C8"/>
    <w:rsid w:val="63CF15A0"/>
    <w:rsid w:val="65A92947"/>
    <w:rsid w:val="661A50B7"/>
    <w:rsid w:val="66F30BCE"/>
    <w:rsid w:val="673C0170"/>
    <w:rsid w:val="673E5F91"/>
    <w:rsid w:val="67D6317A"/>
    <w:rsid w:val="67D649B5"/>
    <w:rsid w:val="68ED6365"/>
    <w:rsid w:val="6A4E3ABD"/>
    <w:rsid w:val="6AE63D7E"/>
    <w:rsid w:val="6B462C2B"/>
    <w:rsid w:val="6B8359E9"/>
    <w:rsid w:val="6BD277B9"/>
    <w:rsid w:val="6C2D13B2"/>
    <w:rsid w:val="6C321620"/>
    <w:rsid w:val="6D3A4CBC"/>
    <w:rsid w:val="6DA02882"/>
    <w:rsid w:val="6DA12E69"/>
    <w:rsid w:val="6DBB3B60"/>
    <w:rsid w:val="6DD55300"/>
    <w:rsid w:val="6F0B4673"/>
    <w:rsid w:val="700E4F44"/>
    <w:rsid w:val="70173239"/>
    <w:rsid w:val="711D3FA5"/>
    <w:rsid w:val="721A5B23"/>
    <w:rsid w:val="72B931C1"/>
    <w:rsid w:val="734A515C"/>
    <w:rsid w:val="738D03F5"/>
    <w:rsid w:val="73E442FB"/>
    <w:rsid w:val="74DE0843"/>
    <w:rsid w:val="767E5B01"/>
    <w:rsid w:val="778F44F9"/>
    <w:rsid w:val="77F2017E"/>
    <w:rsid w:val="79017606"/>
    <w:rsid w:val="79D7762B"/>
    <w:rsid w:val="79EB254B"/>
    <w:rsid w:val="7B830264"/>
    <w:rsid w:val="7BA82ABD"/>
    <w:rsid w:val="7C757EAB"/>
    <w:rsid w:val="7D0A41BC"/>
    <w:rsid w:val="7D0A4B32"/>
    <w:rsid w:val="7D797C2B"/>
    <w:rsid w:val="7DAC6A56"/>
    <w:rsid w:val="7DDC4559"/>
    <w:rsid w:val="7E381ACE"/>
    <w:rsid w:val="7EF742CC"/>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2"/>
    <w:autoRedefine/>
    <w:qFormat/>
    <w:uiPriority w:val="0"/>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34">
    <w:name w:val="font11"/>
    <w:basedOn w:val="1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25407</Words>
  <Characters>26927</Characters>
  <Lines>224</Lines>
  <Paragraphs>63</Paragraphs>
  <TotalTime>13</TotalTime>
  <ScaleCrop>false</ScaleCrop>
  <LinksUpToDate>false</LinksUpToDate>
  <CharactersWithSpaces>30373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2024-04-16T03:10:54Z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84A4714C30764EB0859368879CA3AF87_13</vt:lpwstr>
  </property>
</Properties>
</file>