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hint="default" w:eastAsiaTheme="minorEastAsia"/>
          <w:lang w:val="en-US" w:eastAsia="zh-CN"/>
        </w:rPr>
      </w:pPr>
      <w:r>
        <w:rPr>
          <w:rFonts w:hint="eastAsia" w:cs="宋体" w:asciiTheme="minorEastAsia" w:hAnsiTheme="minorEastAsia"/>
          <w:sz w:val="48"/>
          <w:szCs w:val="48"/>
          <w:u w:val="single"/>
          <w:lang w:eastAsia="zh-CN"/>
        </w:rPr>
        <w:t>2024年临江公司意大利百得燃烧器备件</w:t>
      </w:r>
      <w:r>
        <w:rPr>
          <w:rFonts w:hint="eastAsia" w:cs="宋体" w:asciiTheme="minorEastAsia" w:hAnsiTheme="minorEastAsia"/>
          <w:sz w:val="48"/>
          <w:szCs w:val="48"/>
          <w:u w:val="single"/>
          <w:lang w:val="en-US" w:eastAsia="zh-CN"/>
        </w:rPr>
        <w:t>采购项目</w:t>
      </w:r>
    </w:p>
    <w:p>
      <w:pPr>
        <w:adjustRightInd w:val="0"/>
        <w:snapToGrid w:val="0"/>
        <w:spacing w:line="360" w:lineRule="auto"/>
        <w:jc w:val="center"/>
        <w:rPr>
          <w:rFonts w:cs="宋体" w:asciiTheme="minorEastAsia" w:hAnsiTheme="minorEastAsia"/>
          <w:sz w:val="48"/>
          <w:szCs w:val="48"/>
        </w:rPr>
      </w:pP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cs="宋体" w:asciiTheme="minorEastAsia" w:hAnsiTheme="minorEastAsia"/>
          <w:sz w:val="30"/>
          <w:szCs w:val="30"/>
        </w:rPr>
      </w:pPr>
      <w:r>
        <w:rPr>
          <w:rFonts w:hint="eastAsia" w:cs="宋体" w:asciiTheme="minorEastAsia" w:hAnsiTheme="minorEastAsia"/>
          <w:sz w:val="30"/>
          <w:szCs w:val="30"/>
        </w:rPr>
        <w:t>编号：</w:t>
      </w:r>
      <w:r>
        <w:rPr>
          <w:rFonts w:hint="eastAsia" w:cs="宋体" w:asciiTheme="minorEastAsia" w:hAnsiTheme="minorEastAsia"/>
          <w:sz w:val="30"/>
          <w:szCs w:val="30"/>
          <w:u w:val="single"/>
          <w:lang w:eastAsia="zh-CN"/>
        </w:rPr>
        <w:t>202404033</w:t>
      </w:r>
    </w:p>
    <w:p>
      <w:pPr>
        <w:spacing w:line="360" w:lineRule="auto"/>
        <w:jc w:val="center"/>
        <w:rPr>
          <w:rFonts w:cs="仿宋" w:asciiTheme="minorEastAsia" w:hAnsiTheme="minorEastAsia"/>
          <w:b/>
          <w:bCs/>
          <w:sz w:val="72"/>
          <w:szCs w:val="72"/>
        </w:rPr>
      </w:pPr>
    </w:p>
    <w:p>
      <w:pPr>
        <w:pStyle w:val="7"/>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ind w:firstLine="640" w:firstLineChars="200"/>
        <w:jc w:val="center"/>
        <w:rPr>
          <w:rFonts w:hint="eastAsia" w:cs="仿宋" w:asciiTheme="minorEastAsia" w:hAnsiTheme="minorEastAsia" w:eastAsiaTheme="minorEastAsia"/>
          <w:b/>
          <w:sz w:val="30"/>
          <w:szCs w:val="30"/>
          <w:lang w:eastAsia="zh-CN"/>
        </w:rPr>
      </w:pPr>
      <w:r>
        <w:rPr>
          <w:rFonts w:hint="eastAsia" w:cs="仿宋" w:asciiTheme="minorEastAsia" w:hAnsiTheme="minorEastAsia"/>
          <w:sz w:val="32"/>
          <w:szCs w:val="32"/>
          <w:lang w:eastAsia="zh-CN"/>
        </w:rPr>
        <w:t>2024年</w:t>
      </w:r>
      <w:r>
        <w:rPr>
          <w:rFonts w:hint="eastAsia" w:cs="仿宋" w:asciiTheme="minorEastAsia" w:hAnsiTheme="minorEastAsia"/>
          <w:sz w:val="32"/>
          <w:szCs w:val="32"/>
          <w:lang w:val="en-US" w:eastAsia="zh-CN"/>
        </w:rPr>
        <w:t>4</w:t>
      </w:r>
      <w:r>
        <w:rPr>
          <w:rFonts w:hint="eastAsia" w:cs="仿宋" w:asciiTheme="minorEastAsia" w:hAnsiTheme="minorEastAsia"/>
          <w:sz w:val="32"/>
          <w:szCs w:val="32"/>
          <w:lang w:eastAsia="zh-CN"/>
        </w:rPr>
        <w:t>月</w:t>
      </w:r>
      <w:r>
        <w:rPr>
          <w:rFonts w:hint="eastAsia" w:cs="仿宋" w:asciiTheme="minorEastAsia" w:hAnsiTheme="minorEastAsia"/>
          <w:sz w:val="32"/>
          <w:szCs w:val="32"/>
          <w:lang w:val="en-US" w:eastAsia="zh-CN"/>
        </w:rPr>
        <w:t>26</w:t>
      </w:r>
      <w:r>
        <w:rPr>
          <w:rFonts w:hint="eastAsia" w:cs="仿宋" w:asciiTheme="minorEastAsia" w:hAnsiTheme="minorEastAsia"/>
          <w:sz w:val="32"/>
          <w:szCs w:val="32"/>
          <w:lang w:eastAsia="zh-CN"/>
        </w:rPr>
        <w:t>日</w:t>
      </w:r>
    </w:p>
    <w:p>
      <w:pPr>
        <w:spacing w:line="360" w:lineRule="auto"/>
        <w:jc w:val="center"/>
        <w:rPr>
          <w:rFonts w:cs="仿宋" w:asciiTheme="minorEastAsia" w:hAnsiTheme="minorEastAsia"/>
          <w:b/>
          <w:sz w:val="32"/>
          <w:szCs w:val="32"/>
        </w:rPr>
        <w:sectPr>
          <w:footerReference r:id="rId5" w:type="first"/>
          <w:headerReference r:id="rId3" w:type="default"/>
          <w:footerReference r:id="rId4"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8" w:type="first"/>
          <w:footerReference r:id="rId11" w:type="first"/>
          <w:headerReference r:id="rId6" w:type="default"/>
          <w:footerReference r:id="rId9" w:type="default"/>
          <w:headerReference r:id="rId7" w:type="even"/>
          <w:footerReference r:id="rId10" w:type="even"/>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r>
        <w:rPr>
          <w:rFonts w:hint="eastAsia" w:cs="仿宋" w:asciiTheme="minorEastAsia" w:hAnsiTheme="minorEastAsia"/>
          <w:b/>
          <w:sz w:val="36"/>
          <w:szCs w:val="36"/>
        </w:rPr>
        <w:t xml:space="preserve">第一部分 </w:t>
      </w:r>
      <w:bookmarkStart w:id="1" w:name="_Hlk152939184"/>
      <w:r>
        <w:rPr>
          <w:rFonts w:hint="eastAsia" w:cs="仿宋" w:asciiTheme="minorEastAsia" w:hAnsiTheme="minorEastAsia"/>
          <w:b/>
          <w:sz w:val="36"/>
          <w:szCs w:val="36"/>
        </w:rPr>
        <w:t>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2" w:name="_Toc28359002"/>
      <w:bookmarkStart w:id="3" w:name="_Toc28359079"/>
      <w:bookmarkStart w:id="4" w:name="_Toc35393621"/>
      <w:bookmarkStart w:id="5" w:name="_Toc35393790"/>
      <w:bookmarkStart w:id="6" w:name="_Hlk24379207"/>
      <w:r>
        <w:rPr>
          <w:rFonts w:hint="eastAsia" w:cs="仿宋" w:asciiTheme="minorEastAsia" w:hAnsiTheme="minorEastAsia"/>
          <w:b/>
          <w:bCs/>
          <w:sz w:val="24"/>
        </w:rPr>
        <w:t>项目概况</w:t>
      </w:r>
      <w:r>
        <w:rPr>
          <w:rFonts w:hint="eastAsia" w:cs="仿宋" w:asciiTheme="minorEastAsia" w:hAnsiTheme="minorEastAsia"/>
          <w:b/>
          <w:bCs/>
          <w:sz w:val="24"/>
          <w:lang w:eastAsia="zh-CN"/>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u w:val="single"/>
          <w:lang w:eastAsia="zh-CN"/>
        </w:rPr>
        <w:t>2024年临江公司意大利百得燃烧器备件</w:t>
      </w:r>
      <w:r>
        <w:rPr>
          <w:rFonts w:hint="eastAsia" w:cs="仿宋" w:asciiTheme="minorEastAsia" w:hAnsiTheme="minorEastAsia"/>
          <w:sz w:val="24"/>
          <w:u w:val="single"/>
        </w:rPr>
        <w:t>采购项目</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参加本次采购项目。</w:t>
      </w:r>
    </w:p>
    <w:p>
      <w:pPr>
        <w:pStyle w:val="4"/>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2"/>
      <w:bookmarkEnd w:id="3"/>
      <w:bookmarkEnd w:id="4"/>
      <w:bookmarkEnd w:id="5"/>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1.项目编号：</w:t>
      </w:r>
      <w:r>
        <w:rPr>
          <w:rFonts w:hint="eastAsia" w:cs="仿宋" w:asciiTheme="minorEastAsia" w:hAnsiTheme="minorEastAsia"/>
          <w:sz w:val="24"/>
          <w:u w:val="single"/>
          <w:lang w:eastAsia="zh-CN"/>
        </w:rPr>
        <w:t>202404033</w:t>
      </w:r>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2.项目名称：</w:t>
      </w:r>
      <w:r>
        <w:rPr>
          <w:rFonts w:hint="eastAsia" w:cs="仿宋" w:asciiTheme="minorEastAsia" w:hAnsiTheme="minorEastAsia"/>
          <w:sz w:val="24"/>
          <w:u w:val="single"/>
          <w:lang w:eastAsia="zh-CN"/>
        </w:rPr>
        <w:t>2024年临江公司意大利百得燃烧器备件</w:t>
      </w:r>
      <w:r>
        <w:rPr>
          <w:rFonts w:hint="eastAsia" w:cs="仿宋" w:asciiTheme="minorEastAsia" w:hAnsiTheme="minorEastAsia"/>
          <w:sz w:val="24"/>
          <w:u w:val="single"/>
        </w:rPr>
        <w:t>采购</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6"/>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4.最高限价：</w:t>
      </w:r>
      <w:r>
        <w:rPr>
          <w:rFonts w:hint="eastAsia" w:cs="仿宋" w:asciiTheme="minorEastAsia" w:hAnsiTheme="minorEastAsia"/>
          <w:sz w:val="24"/>
          <w:u w:val="single"/>
          <w:lang w:val="en-US" w:eastAsia="zh-CN"/>
        </w:rPr>
        <w:t>17</w:t>
      </w:r>
      <w:r>
        <w:rPr>
          <w:rFonts w:hint="eastAsia" w:cs="仿宋" w:asciiTheme="minorEastAsia" w:hAnsiTheme="minorEastAsia"/>
          <w:sz w:val="24"/>
          <w:u w:val="single"/>
          <w:lang w:eastAsia="zh-CN"/>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u w:val="single"/>
        </w:rPr>
      </w:pPr>
      <w:r>
        <w:rPr>
          <w:rFonts w:hint="eastAsia" w:hAnsi="宋体" w:cs="宋体"/>
          <w:bCs/>
          <w:sz w:val="24"/>
          <w:u w:val="single"/>
        </w:rPr>
        <w:t>杭州临江环境能源有限公司因日常生产需要，需</w:t>
      </w:r>
      <w:r>
        <w:rPr>
          <w:rFonts w:hint="eastAsia" w:hAnsi="宋体" w:cs="宋体"/>
          <w:bCs/>
          <w:sz w:val="24"/>
          <w:u w:val="single"/>
          <w:lang w:eastAsia="zh-CN"/>
        </w:rPr>
        <w:t>采购意大利百得燃烧器备件</w:t>
      </w:r>
      <w:r>
        <w:rPr>
          <w:rFonts w:hint="eastAsia" w:hAnsi="宋体" w:cs="宋体"/>
          <w:bCs/>
          <w:sz w:val="24"/>
          <w:u w:val="single"/>
        </w:rPr>
        <w:t>一批。</w:t>
      </w:r>
      <w:r>
        <w:rPr>
          <w:rFonts w:hint="eastAsia" w:cs="仿宋" w:asciiTheme="minorEastAsia" w:hAnsiTheme="minorEastAsia"/>
          <w:sz w:val="24"/>
          <w:u w:val="single"/>
        </w:rPr>
        <w:t>具体要求以询价通知书第三部分采购需求为准。</w:t>
      </w:r>
    </w:p>
    <w:p>
      <w:pPr>
        <w:spacing w:line="360" w:lineRule="auto"/>
        <w:ind w:firstLine="480" w:firstLineChars="200"/>
        <w:rPr>
          <w:rFonts w:cs="仿宋" w:asciiTheme="minorEastAsia" w:hAnsiTheme="minorEastAsia"/>
          <w:sz w:val="24"/>
          <w:u w:val="single"/>
        </w:rPr>
      </w:pPr>
      <w:r>
        <w:rPr>
          <w:rFonts w:hint="eastAsia" w:cs="仿宋" w:asciiTheme="minorEastAsia" w:hAnsiTheme="minorEastAsia"/>
          <w:sz w:val="24"/>
        </w:rPr>
        <w:t>6.</w:t>
      </w:r>
      <w:r>
        <w:rPr>
          <w:rFonts w:hint="eastAsia" w:cs="仿宋" w:asciiTheme="minorEastAsia" w:hAnsiTheme="minorEastAsia"/>
          <w:b/>
          <w:bCs/>
          <w:sz w:val="24"/>
        </w:rPr>
        <w:t>合同履行期限：</w:t>
      </w:r>
      <w:r>
        <w:rPr>
          <w:rFonts w:hint="eastAsia" w:hAnsi="宋体" w:cs="宋体"/>
          <w:bCs/>
          <w:sz w:val="24"/>
          <w:u w:val="single"/>
          <w:lang w:eastAsia="zh-CN"/>
        </w:rPr>
        <w:t>分批供货</w:t>
      </w:r>
      <w:r>
        <w:rPr>
          <w:rFonts w:hint="eastAsia" w:hAnsi="宋体" w:cs="宋体"/>
          <w:bCs/>
          <w:sz w:val="24"/>
          <w:u w:val="single"/>
        </w:rPr>
        <w:t>。在采购人发出送货通知后，成交人</w:t>
      </w:r>
      <w:r>
        <w:rPr>
          <w:rFonts w:hint="eastAsia" w:hAnsi="宋体" w:cs="宋体"/>
          <w:bCs/>
          <w:sz w:val="24"/>
          <w:u w:val="single"/>
          <w:lang w:eastAsia="zh-CN"/>
        </w:rPr>
        <w:t>15个工作日内将货物</w:t>
      </w:r>
      <w:r>
        <w:rPr>
          <w:rFonts w:hint="eastAsia" w:hAnsi="宋体" w:cs="宋体"/>
          <w:bCs/>
          <w:sz w:val="24"/>
          <w:u w:val="single"/>
        </w:rPr>
        <w:t>如数送至采购人指定地点。</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641886432"/>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7" w:name="_Toc28359080"/>
      <w:bookmarkStart w:id="8" w:name="_Toc35393791"/>
      <w:bookmarkStart w:id="9" w:name="_Toc28359003"/>
      <w:bookmarkStart w:id="10" w:name="_Toc35393622"/>
      <w:r>
        <w:rPr>
          <w:rFonts w:hint="eastAsia" w:cs="仿宋" w:asciiTheme="minorEastAsia" w:hAnsiTheme="minorEastAsia"/>
          <w:b/>
          <w:bCs/>
          <w:sz w:val="24"/>
        </w:rPr>
        <w:t>二、供应商的资格要求：</w:t>
      </w:r>
      <w:bookmarkEnd w:id="7"/>
      <w:bookmarkEnd w:id="8"/>
      <w:bookmarkEnd w:id="9"/>
      <w:bookmarkEnd w:id="10"/>
      <w:bookmarkStart w:id="11" w:name="_Toc35393792"/>
      <w:bookmarkStart w:id="12" w:name="_Toc35393623"/>
      <w:bookmarkStart w:id="13" w:name="_Toc28359081"/>
      <w:bookmarkStart w:id="14" w:name="_Toc28359004"/>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1.供应商必须是在中华人民共和国境内注册，具有独立法人资格和独立承担民事责任的能力，有能力提供货物。</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2.供应商在“信用中国”（www.creditchina.gov.cn）、中国政府采购网（www.ccgp.gov.cn）等其他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sz w:val="24"/>
        </w:rPr>
      </w:pPr>
      <w:r>
        <w:rPr>
          <w:rFonts w:cs="仿宋" w:asciiTheme="minorEastAsia" w:hAnsiTheme="minorEastAsia"/>
          <w:bCs/>
          <w:sz w:val="24"/>
        </w:rPr>
        <w:t>3</w:t>
      </w:r>
      <w:r>
        <w:rPr>
          <w:rFonts w:hint="eastAsia" w:cs="仿宋" w:asciiTheme="minorEastAsia" w:hAnsiTheme="minorEastAsia"/>
          <w:bCs/>
          <w:sz w:val="24"/>
        </w:rPr>
        <w:t>.供应商不得为杭州市环境集团有限公司或杭州临江环境能源有限公司不合格供应商或者在黑名单之内。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cs="仿宋" w:asciiTheme="minorEastAsia" w:hAnsiTheme="minorEastAsia"/>
          <w:bCs/>
          <w:sz w:val="24"/>
        </w:rPr>
        <w:t>4</w:t>
      </w:r>
      <w:r>
        <w:rPr>
          <w:rFonts w:hint="eastAsia" w:cs="仿宋" w:asciiTheme="minorEastAsia" w:hAnsiTheme="minorEastAsia"/>
          <w:bCs/>
          <w:sz w:val="24"/>
        </w:rPr>
        <w:t xml:space="preserve">.供应商负责人为同一人或者存在控股、管理关系的不同单位，不得同时参加本项目。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cs="仿宋" w:asciiTheme="minorEastAsia" w:hAnsiTheme="minorEastAsia"/>
          <w:bCs/>
          <w:sz w:val="24"/>
        </w:rPr>
        <w:t>5</w:t>
      </w:r>
      <w:r>
        <w:rPr>
          <w:rFonts w:hint="eastAsia" w:cs="仿宋" w:asciiTheme="minorEastAsia" w:hAnsiTheme="minorEastAsia"/>
          <w:bCs/>
          <w:sz w:val="24"/>
        </w:rPr>
        <w:t>.供应商须提供其股东信息及出资比例信息。</w:t>
      </w:r>
    </w:p>
    <w:p>
      <w:pPr>
        <w:spacing w:line="360" w:lineRule="auto"/>
        <w:ind w:firstLine="480" w:firstLineChars="200"/>
        <w:rPr>
          <w:rFonts w:hint="eastAsia" w:cs="仿宋" w:asciiTheme="minorEastAsia" w:hAnsiTheme="minorEastAsia" w:eastAsiaTheme="minorEastAsia"/>
          <w:bCs/>
          <w:sz w:val="24"/>
          <w:u w:val="single"/>
          <w:lang w:val="en-US" w:eastAsia="zh-CN"/>
        </w:rPr>
      </w:pPr>
      <w:r>
        <w:rPr>
          <w:rFonts w:cs="仿宋" w:asciiTheme="minorEastAsia" w:hAnsiTheme="minorEastAsia"/>
          <w:bCs/>
          <w:sz w:val="24"/>
        </w:rPr>
        <w:t>6.</w:t>
      </w:r>
      <w:r>
        <w:rPr>
          <w:rFonts w:hint="eastAsia" w:cs="仿宋" w:asciiTheme="minorEastAsia" w:hAnsiTheme="minorEastAsia"/>
          <w:bCs/>
          <w:sz w:val="24"/>
        </w:rPr>
        <w:t>本项目特定资格要求：</w:t>
      </w:r>
      <w:r>
        <w:rPr>
          <w:rFonts w:hint="eastAsia" w:cs="仿宋" w:asciiTheme="minorEastAsia" w:hAnsiTheme="minorEastAsia"/>
          <w:bCs/>
          <w:sz w:val="24"/>
          <w:u w:val="single"/>
          <w:lang w:val="en-US" w:eastAsia="zh-CN"/>
        </w:rPr>
        <w:t>无</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1"/>
      <w:bookmarkEnd w:id="12"/>
      <w:bookmarkEnd w:id="13"/>
      <w:bookmarkEnd w:id="14"/>
      <w:r>
        <w:rPr>
          <w:rFonts w:hint="eastAsia" w:cs="仿宋" w:asciiTheme="minorEastAsia" w:hAnsiTheme="minorEastAsia"/>
          <w:b/>
          <w:bCs/>
          <w:sz w:val="24"/>
        </w:rPr>
        <w:t>获取（下载）询价采购文件</w:t>
      </w:r>
    </w:p>
    <w:p>
      <w:pPr>
        <w:spacing w:line="360" w:lineRule="auto"/>
        <w:ind w:firstLine="480" w:firstLineChars="200"/>
        <w:rPr>
          <w:rFonts w:cs="仿宋" w:asciiTheme="minorEastAsia" w:hAnsiTheme="minorEastAsia"/>
          <w:sz w:val="24"/>
        </w:rPr>
      </w:pPr>
      <w:bookmarkStart w:id="15" w:name="_Toc35393624"/>
      <w:bookmarkStart w:id="16" w:name="_Toc35393793"/>
      <w:bookmarkStart w:id="17" w:name="_Toc28359082"/>
      <w:bookmarkStart w:id="18" w:name="_Toc28359005"/>
      <w:r>
        <w:rPr>
          <w:rFonts w:hint="eastAsia" w:cs="仿宋" w:asciiTheme="minorEastAsia" w:hAnsiTheme="minorEastAsia"/>
          <w:sz w:val="24"/>
        </w:rPr>
        <w:t xml:space="preserve">1.时间：报价截止时间前。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2.地点（网址）：杭州临江环境能源有限公司网站（https://www.ljhjny.com/notice.html）。</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3.方式：网站附件免费下载。</w:t>
      </w:r>
    </w:p>
    <w:bookmarkEnd w:id="15"/>
    <w:bookmarkEnd w:id="16"/>
    <w:bookmarkEnd w:id="17"/>
    <w:bookmarkEnd w:id="18"/>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1.截止时间：</w:t>
      </w:r>
      <w:r>
        <w:rPr>
          <w:rFonts w:hint="eastAsia" w:cs="仿宋" w:asciiTheme="minorEastAsia" w:hAnsiTheme="minorEastAsia"/>
          <w:sz w:val="24"/>
          <w:u w:val="single"/>
        </w:rPr>
        <w:t>2024年</w:t>
      </w:r>
      <w:r>
        <w:rPr>
          <w:rFonts w:hint="eastAsia" w:cs="仿宋" w:asciiTheme="minorEastAsia" w:hAnsiTheme="minorEastAsia"/>
          <w:sz w:val="24"/>
          <w:u w:val="single"/>
          <w:lang w:val="en-US" w:eastAsia="zh-CN"/>
        </w:rPr>
        <w:t>5</w:t>
      </w:r>
      <w:r>
        <w:rPr>
          <w:rFonts w:hint="eastAsia" w:cs="仿宋" w:asciiTheme="minorEastAsia" w:hAnsiTheme="minorEastAsia"/>
          <w:sz w:val="24"/>
          <w:u w:val="single"/>
        </w:rPr>
        <w:t>月</w:t>
      </w:r>
      <w:r>
        <w:rPr>
          <w:rFonts w:hint="eastAsia" w:cs="仿宋" w:asciiTheme="minorEastAsia" w:hAnsiTheme="minorEastAsia"/>
          <w:bCs/>
          <w:sz w:val="24"/>
          <w:u w:val="single"/>
          <w:lang w:val="en-US" w:eastAsia="zh-CN"/>
        </w:rPr>
        <w:t>8</w:t>
      </w:r>
      <w:r>
        <w:rPr>
          <w:rFonts w:hint="eastAsia" w:cs="仿宋" w:asciiTheme="minorEastAsia" w:hAnsiTheme="minorEastAsia"/>
          <w:bCs/>
          <w:sz w:val="24"/>
          <w:u w:val="single"/>
        </w:rPr>
        <w:t>日</w:t>
      </w:r>
      <w:r>
        <w:rPr>
          <w:rFonts w:cs="仿宋" w:asciiTheme="minorEastAsia" w:hAnsiTheme="minorEastAsia"/>
          <w:bCs/>
          <w:sz w:val="24"/>
          <w:u w:val="single"/>
        </w:rPr>
        <w:t>10</w:t>
      </w:r>
      <w:r>
        <w:rPr>
          <w:rFonts w:hint="eastAsia" w:cs="仿宋" w:asciiTheme="minorEastAsia" w:hAnsiTheme="minorEastAsia"/>
          <w:bCs/>
          <w:sz w:val="24"/>
          <w:u w:val="single"/>
        </w:rPr>
        <w:t>点</w:t>
      </w:r>
      <w:r>
        <w:rPr>
          <w:rFonts w:cs="仿宋" w:asciiTheme="minorEastAsia" w:hAnsiTheme="minorEastAsia"/>
          <w:bCs/>
          <w:sz w:val="24"/>
          <w:u w:val="single"/>
        </w:rPr>
        <w:t>30</w:t>
      </w:r>
      <w:r>
        <w:rPr>
          <w:rFonts w:hint="eastAsia" w:cs="仿宋" w:asciiTheme="minorEastAsia" w:hAnsiTheme="minorEastAsia"/>
          <w:bCs/>
          <w:sz w:val="24"/>
          <w:u w:val="single"/>
        </w:rPr>
        <w:t>分</w:t>
      </w:r>
      <w:r>
        <w:rPr>
          <w:rFonts w:cs="仿宋" w:asciiTheme="minorEastAsia" w:hAnsiTheme="minorEastAsia"/>
          <w:bCs/>
          <w:sz w:val="24"/>
          <w:u w:val="single"/>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w:t>
      </w:r>
      <w:r>
        <w:rPr>
          <w:rFonts w:hint="eastAsia" w:cs="仿宋" w:asciiTheme="minorEastAsia" w:hAnsiTheme="minorEastAsia"/>
          <w:sz w:val="24"/>
          <w:lang w:val="en-US" w:eastAsia="zh-CN"/>
        </w:rPr>
        <w:t>.</w:t>
      </w:r>
      <w:r>
        <w:rPr>
          <w:rFonts w:hint="eastAsia" w:cs="仿宋" w:asciiTheme="minorEastAsia" w:hAnsiTheme="minorEastAsia"/>
          <w:sz w:val="24"/>
        </w:rPr>
        <w:t>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sz w:val="24"/>
          <w:lang w:val="en-US" w:eastAsia="zh-CN"/>
        </w:rPr>
        <w:t>3</w:t>
      </w:r>
      <w:r>
        <w:rPr>
          <w:rFonts w:hint="eastAsia" w:cs="仿宋" w:asciiTheme="minorEastAsia" w:hAnsiTheme="minorEastAsia"/>
          <w:sz w:val="24"/>
        </w:rPr>
        <w:t>）响应文件邮递递交截止时间：以邮寄签收时间为准，因邮寄原因导致响应文件不能如期送达等风险由供应商自行承担。</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六、响应文件开启</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1.开启时间：</w:t>
      </w:r>
      <w:r>
        <w:rPr>
          <w:rFonts w:hint="eastAsia" w:cs="仿宋" w:asciiTheme="minorEastAsia" w:hAnsiTheme="minorEastAsia"/>
          <w:sz w:val="24"/>
          <w:u w:val="single"/>
        </w:rPr>
        <w:t>2024年</w:t>
      </w:r>
      <w:r>
        <w:rPr>
          <w:rFonts w:hint="eastAsia" w:cs="仿宋" w:asciiTheme="minorEastAsia" w:hAnsiTheme="minorEastAsia"/>
          <w:sz w:val="24"/>
          <w:u w:val="single"/>
          <w:lang w:val="en-US" w:eastAsia="zh-CN"/>
        </w:rPr>
        <w:t>5</w:t>
      </w:r>
      <w:r>
        <w:rPr>
          <w:rFonts w:hint="eastAsia" w:cs="仿宋" w:asciiTheme="minorEastAsia" w:hAnsiTheme="minorEastAsia"/>
          <w:sz w:val="24"/>
          <w:u w:val="single"/>
        </w:rPr>
        <w:t>月</w:t>
      </w:r>
      <w:r>
        <w:rPr>
          <w:rFonts w:hint="eastAsia" w:cs="仿宋" w:asciiTheme="minorEastAsia" w:hAnsiTheme="minorEastAsia"/>
          <w:bCs/>
          <w:sz w:val="24"/>
          <w:u w:val="single"/>
          <w:lang w:val="en-US" w:eastAsia="zh-CN"/>
        </w:rPr>
        <w:t>8</w:t>
      </w:r>
      <w:r>
        <w:rPr>
          <w:rFonts w:hint="eastAsia" w:cs="仿宋" w:asciiTheme="minorEastAsia" w:hAnsiTheme="minorEastAsia"/>
          <w:bCs/>
          <w:sz w:val="24"/>
          <w:u w:val="single"/>
        </w:rPr>
        <w:t>日</w:t>
      </w:r>
      <w:r>
        <w:rPr>
          <w:rFonts w:cs="仿宋" w:asciiTheme="minorEastAsia" w:hAnsiTheme="minorEastAsia"/>
          <w:bCs/>
          <w:sz w:val="24"/>
          <w:u w:val="single"/>
        </w:rPr>
        <w:t>10</w:t>
      </w:r>
      <w:r>
        <w:rPr>
          <w:rFonts w:hint="eastAsia" w:cs="仿宋" w:asciiTheme="minorEastAsia" w:hAnsiTheme="minorEastAsia"/>
          <w:bCs/>
          <w:sz w:val="24"/>
          <w:u w:val="single"/>
        </w:rPr>
        <w:t>点</w:t>
      </w:r>
      <w:r>
        <w:rPr>
          <w:rFonts w:cs="仿宋" w:asciiTheme="minorEastAsia" w:hAnsiTheme="minorEastAsia"/>
          <w:bCs/>
          <w:sz w:val="24"/>
          <w:u w:val="single"/>
        </w:rPr>
        <w:t>30</w:t>
      </w:r>
      <w:r>
        <w:rPr>
          <w:rFonts w:hint="eastAsia" w:cs="仿宋" w:asciiTheme="minorEastAsia" w:hAnsiTheme="minorEastAsia"/>
          <w:bCs/>
          <w:sz w:val="24"/>
          <w:u w:val="single"/>
        </w:rPr>
        <w:t>分</w:t>
      </w:r>
      <w:r>
        <w:rPr>
          <w:rFonts w:cs="仿宋" w:asciiTheme="minorEastAsia" w:hAnsiTheme="minorEastAsia"/>
          <w:bCs/>
          <w:sz w:val="24"/>
          <w:u w:val="single"/>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开启采用线上和线下同时进行的方式，供应商可参与现场开启，或者线上参加“腾讯会议”形式参与线上现场开启。开启期间供应商代表通过“腾讯会议”保持全程在线直至开启结束。腾讯会议号在开启当日9:10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（3）结果确认：在结果确认阶段，本项目采购人通过“腾讯会议”直播间要求各供应商确认开启</w:t>
      </w:r>
      <w:r>
        <w:rPr>
          <w:rFonts w:hint="eastAsia" w:cs="仿宋" w:asciiTheme="minorEastAsia" w:hAnsiTheme="minorEastAsia"/>
          <w:sz w:val="24"/>
          <w:lang w:eastAsia="zh-CN"/>
        </w:rPr>
        <w:t>记录</w:t>
      </w:r>
      <w:r>
        <w:rPr>
          <w:rFonts w:hint="eastAsia" w:cs="仿宋" w:asciiTheme="minorEastAsia" w:hAnsiTheme="minorEastAsia"/>
          <w:sz w:val="24"/>
        </w:rPr>
        <w:t>结果，各供应商在线回复确认</w:t>
      </w:r>
      <w:r>
        <w:rPr>
          <w:rFonts w:hint="eastAsia" w:cs="仿宋" w:asciiTheme="minorEastAsia" w:hAnsiTheme="minorEastAsia"/>
          <w:sz w:val="24"/>
          <w:lang w:eastAsia="zh-CN"/>
        </w:rPr>
        <w:t>记录</w:t>
      </w:r>
      <w:r>
        <w:rPr>
          <w:rFonts w:hint="eastAsia" w:cs="仿宋" w:asciiTheme="minorEastAsia" w:hAnsiTheme="minorEastAsia"/>
          <w:sz w:val="24"/>
        </w:rPr>
        <w:t>结果完毕后（供应商因故未能确认</w:t>
      </w:r>
      <w:r>
        <w:rPr>
          <w:rFonts w:hint="eastAsia" w:cs="仿宋" w:asciiTheme="minorEastAsia" w:hAnsiTheme="minorEastAsia"/>
          <w:sz w:val="24"/>
          <w:lang w:eastAsia="zh-CN"/>
        </w:rPr>
        <w:t>记录</w:t>
      </w:r>
      <w:r>
        <w:rPr>
          <w:rFonts w:hint="eastAsia" w:cs="仿宋" w:asciiTheme="minorEastAsia" w:hAnsiTheme="minorEastAsia"/>
          <w:sz w:val="24"/>
        </w:rPr>
        <w:t>结果的，默认供应商已确认开启结果），采购人打印开启</w:t>
      </w:r>
      <w:r>
        <w:rPr>
          <w:rFonts w:hint="eastAsia" w:cs="仿宋" w:asciiTheme="minorEastAsia" w:hAnsiTheme="minorEastAsia"/>
          <w:sz w:val="24"/>
          <w:lang w:eastAsia="zh-CN"/>
        </w:rPr>
        <w:t>记录</w:t>
      </w:r>
      <w:r>
        <w:rPr>
          <w:rFonts w:hint="eastAsia" w:cs="仿宋" w:asciiTheme="minorEastAsia" w:hAnsiTheme="minorEastAsia"/>
          <w:sz w:val="24"/>
        </w:rPr>
        <w:t>，宣布开启会议结束，并负责保存“腾讯会议”录像。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（4）见证要求：开启期间供应商因未参与现场开启或者未参加线上直播，视为认可全过程和结果，不得提出异议。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（5）异议处理：供应商对开启过程有异议的，应在开启会议结束前通过“腾讯会议”在线上提出，采购人应现场予以答复，并做好记录。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ljgsbjzy@163.com质疑</w:t>
      </w:r>
      <w:r>
        <w:rPr>
          <w:rFonts w:hint="eastAsia" w:cs="仿宋" w:asciiTheme="minorEastAsia" w:hAnsiTheme="minorEastAsia"/>
          <w:sz w:val="24"/>
        </w:rPr>
        <w:t>，同时联系本项目采购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联系人：华 </w:t>
      </w:r>
      <w:r>
        <w:rPr>
          <w:rFonts w:cs="仿宋" w:asciiTheme="minorEastAsia" w:hAnsiTheme="minorEastAsia"/>
          <w:sz w:val="24"/>
        </w:rPr>
        <w:t xml:space="preserve"> </w:t>
      </w:r>
      <w:r>
        <w:rPr>
          <w:rFonts w:hint="eastAsia" w:cs="仿宋" w:asciiTheme="minorEastAsia" w:hAnsiTheme="minorEastAsia"/>
          <w:sz w:val="24"/>
        </w:rPr>
        <w:t xml:space="preserve">亮   </w:t>
      </w:r>
      <w:r>
        <w:rPr>
          <w:rFonts w:cs="仿宋" w:asciiTheme="minorEastAsia" w:hAnsiTheme="minorEastAsia"/>
          <w:sz w:val="24"/>
        </w:rPr>
        <w:t xml:space="preserve">   </w:t>
      </w:r>
      <w:r>
        <w:rPr>
          <w:rFonts w:hint="eastAsia" w:cs="仿宋" w:asciiTheme="minorEastAsia" w:hAnsiTheme="minorEastAsia"/>
          <w:sz w:val="24"/>
        </w:rPr>
        <w:t xml:space="preserve"> 联系电话：</w:t>
      </w:r>
      <w:r>
        <w:rPr>
          <w:rFonts w:cs="仿宋" w:asciiTheme="minorEastAsia" w:hAnsiTheme="minorEastAsia"/>
          <w:sz w:val="24"/>
        </w:rPr>
        <w:t>15857174171</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3840" w:firstLineChars="1600"/>
        <w:rPr>
          <w:rFonts w:hint="eastAsia" w:cs="仿宋" w:asciiTheme="minorEastAsia" w:hAnsiTheme="minorEastAsia"/>
          <w:sz w:val="24"/>
        </w:rPr>
      </w:pPr>
    </w:p>
    <w:p>
      <w:pPr>
        <w:spacing w:line="360" w:lineRule="auto"/>
        <w:ind w:firstLine="4560" w:firstLineChars="1900"/>
        <w:rPr>
          <w:rFonts w:cs="仿宋" w:asciiTheme="minorEastAsia" w:hAnsiTheme="minorEastAsia"/>
          <w:sz w:val="24"/>
        </w:rPr>
      </w:pPr>
      <w:r>
        <w:rPr>
          <w:rFonts w:hint="eastAsia" w:cs="仿宋" w:asciiTheme="minorEastAsia" w:hAnsiTheme="minorEastAsia"/>
          <w:sz w:val="24"/>
        </w:rPr>
        <w:t>杭州临江环境能源有限公司</w:t>
      </w:r>
    </w:p>
    <w:bookmarkEnd w:id="1"/>
    <w:p>
      <w:pPr>
        <w:spacing w:line="360" w:lineRule="auto"/>
        <w:ind w:firstLine="5520" w:firstLineChars="2300"/>
        <w:rPr>
          <w:rFonts w:hint="eastAsia" w:cs="仿宋" w:asciiTheme="minorEastAsia" w:hAnsiTheme="minorEastAsia"/>
          <w:sz w:val="24"/>
        </w:rPr>
      </w:pPr>
      <w:r>
        <w:rPr>
          <w:rFonts w:hint="eastAsia" w:cs="仿宋" w:asciiTheme="minorEastAsia" w:hAnsiTheme="minorEastAsia"/>
          <w:sz w:val="24"/>
        </w:rPr>
        <w:t>2024年</w:t>
      </w:r>
      <w:r>
        <w:rPr>
          <w:rFonts w:hint="eastAsia" w:cs="仿宋" w:asciiTheme="minorEastAsia" w:hAnsiTheme="minorEastAsia"/>
          <w:sz w:val="24"/>
          <w:lang w:val="en-US" w:eastAsia="zh-CN"/>
        </w:rPr>
        <w:t>4</w:t>
      </w:r>
      <w:r>
        <w:rPr>
          <w:rFonts w:hint="eastAsia" w:cs="仿宋" w:asciiTheme="minorEastAsia" w:hAnsiTheme="minorEastAsia"/>
          <w:sz w:val="24"/>
        </w:rPr>
        <w:t>月</w:t>
      </w:r>
      <w:r>
        <w:rPr>
          <w:rFonts w:hint="eastAsia" w:cs="仿宋" w:asciiTheme="minorEastAsia" w:hAnsiTheme="minorEastAsia"/>
          <w:sz w:val="24"/>
          <w:lang w:val="en-US" w:eastAsia="zh-CN"/>
        </w:rPr>
        <w:t>26</w:t>
      </w:r>
      <w:bookmarkStart w:id="520" w:name="_GoBack"/>
      <w:bookmarkEnd w:id="520"/>
      <w:r>
        <w:rPr>
          <w:rFonts w:hint="eastAsia" w:cs="仿宋" w:asciiTheme="minorEastAsia" w:hAnsiTheme="minorEastAsia"/>
          <w:sz w:val="24"/>
        </w:rPr>
        <w:t>日</w:t>
      </w:r>
    </w:p>
    <w:p>
      <w:pPr>
        <w:spacing w:line="360" w:lineRule="auto"/>
        <w:ind w:firstLine="6505" w:firstLineChars="1800"/>
        <w:rPr>
          <w:rFonts w:cs="仿宋" w:asciiTheme="minorEastAsia" w:hAnsiTheme="minorEastAsia"/>
          <w:b/>
          <w:bCs/>
          <w:sz w:val="36"/>
          <w:szCs w:val="36"/>
        </w:rPr>
      </w:pPr>
      <w:r>
        <w:rPr>
          <w:rFonts w:cs="仿宋" w:asciiTheme="minorEastAsia" w:hAnsiTheme="minorEastAsia"/>
          <w:b/>
          <w:bCs/>
          <w:sz w:val="36"/>
          <w:szCs w:val="36"/>
        </w:rPr>
        <w:br w:type="page"/>
      </w: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5"/>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8"/>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8"/>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8"/>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8"/>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30700336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2" w:char="0052"/>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989144243"/>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888378543"/>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rPr>
              <w:t>元，供应商应在投标截止日前以电汇或网银转账方式缴纳至杭州临江环境能源有限公司。同时将银行缴款凭证复印件作为投标文件组成部分。</w:t>
            </w:r>
            <w:r>
              <w:rPr>
                <w:rFonts w:hint="eastAsia" w:ascii="宋体" w:hAnsi="宋体" w:eastAsia="宋体" w:cs="宋体"/>
                <w:b/>
                <w:bCs/>
                <w:szCs w:val="21"/>
              </w:rPr>
              <w:t xml:space="preserve">须注明： </w:t>
            </w:r>
            <w:r>
              <w:rPr>
                <w:rFonts w:ascii="宋体" w:hAnsi="宋体" w:eastAsia="宋体" w:cs="宋体"/>
                <w:b/>
                <w:bCs/>
                <w:szCs w:val="21"/>
                <w:u w:val="single"/>
              </w:rPr>
              <w:t xml:space="preserve"> </w:t>
            </w:r>
            <w:r>
              <w:rPr>
                <w:rFonts w:hint="eastAsia" w:ascii="宋体" w:hAnsi="宋体" w:eastAsia="宋体" w:cs="宋体"/>
                <w:b/>
                <w:bCs/>
                <w:szCs w:val="21"/>
                <w:u w:val="single"/>
                <w:lang w:val="en-US" w:eastAsia="zh-CN"/>
              </w:rPr>
              <w:t xml:space="preserve">/ </w:t>
            </w:r>
            <w:r>
              <w:rPr>
                <w:rFonts w:hint="eastAsia" w:ascii="宋体" w:hAnsi="宋体" w:eastAsia="宋体" w:cs="宋体"/>
                <w:b/>
                <w:bCs/>
                <w:szCs w:val="21"/>
              </w:rPr>
              <w:t>询价保证金</w:t>
            </w:r>
          </w:p>
          <w:p>
            <w:pPr>
              <w:pStyle w:val="19"/>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19"/>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szCs w:val="21"/>
                <w:u w:val="single"/>
              </w:rPr>
              <w:t xml:space="preserve">   </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推荐成交候选人的人数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0"/>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20"/>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20"/>
              <w:snapToGrid w:val="0"/>
              <w:spacing w:line="400" w:lineRule="exact"/>
              <w:ind w:firstLine="0" w:firstLineChars="0"/>
              <w:jc w:val="left"/>
              <w:rPr>
                <w:rFonts w:ascii="宋体" w:hAnsi="宋体" w:cs="宋体"/>
              </w:rPr>
            </w:pPr>
            <w:r>
              <w:rPr>
                <w:rFonts w:hint="eastAsia" w:ascii="宋体" w:hAnsi="宋体" w:cs="宋体"/>
              </w:rPr>
              <w:t>履约保证金缴纳时间：合同签订前缴纳</w:t>
            </w:r>
          </w:p>
          <w:p>
            <w:pPr>
              <w:pStyle w:val="20"/>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20"/>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履约保证金有效期限：履约保证金将在本项目合同到期或终止后，扣除成交人应承担的违约金、损失赔偿金等款项后经成交人申请30个工作日后无息退还。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snapToGrid w:val="0"/>
                <w:szCs w:val="21"/>
              </w:rPr>
              <w:t>是否分册装订：</w:t>
            </w:r>
          </w:p>
          <w:p>
            <w:pPr>
              <w:pStyle w:val="18"/>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8"/>
              <w:snapToGrid w:val="0"/>
              <w:spacing w:line="400" w:lineRule="exact"/>
              <w:ind w:right="42" w:rightChars="20"/>
              <w:rPr>
                <w:snapToGrid w:val="0"/>
                <w:szCs w:val="21"/>
                <w:u w:val="single"/>
              </w:rPr>
            </w:pPr>
            <w:r>
              <w:rPr>
                <w:rFonts w:hint="eastAsia"/>
                <w:snapToGrid w:val="0"/>
                <w:szCs w:val="21"/>
              </w:rPr>
              <w:sym w:font="Wingdings 2" w:char="00A3"/>
            </w:r>
            <w:r>
              <w:rPr>
                <w:rFonts w:hint="eastAsia"/>
                <w:snapToGrid w:val="0"/>
                <w:szCs w:val="21"/>
              </w:rPr>
              <w:t>分册装订。</w:t>
            </w:r>
          </w:p>
          <w:p>
            <w:pPr>
              <w:pStyle w:val="18"/>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pStyle w:val="7"/>
        <w:rPr>
          <w:rFonts w:cs="仿宋" w:asciiTheme="minorEastAsia" w:hAnsiTheme="minorEastAsia"/>
          <w:b/>
          <w:sz w:val="32"/>
          <w:szCs w:val="20"/>
        </w:rPr>
      </w:pPr>
    </w:p>
    <w:p>
      <w:pPr>
        <w:widowControl/>
        <w:jc w:val="left"/>
        <w:rPr>
          <w:rFonts w:cs="仿宋" w:asciiTheme="minorEastAsia" w:hAnsiTheme="minorEastAsia"/>
          <w:b/>
          <w:sz w:val="32"/>
          <w:szCs w:val="20"/>
        </w:rPr>
      </w:pPr>
      <w:r>
        <w:rPr>
          <w:rFonts w:cs="仿宋" w:asciiTheme="minorEastAsia" w:hAnsiTheme="minorEastAsia"/>
          <w:b/>
          <w:sz w:val="32"/>
          <w:szCs w:val="20"/>
        </w:rPr>
        <w:br w:type="page"/>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 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w:t>
      </w:r>
      <w:r>
        <w:rPr>
          <w:rFonts w:hint="eastAsia" w:cs="仿宋" w:asciiTheme="minorEastAsia" w:hAnsiTheme="minorEastAsia"/>
          <w:sz w:val="24"/>
          <w:lang w:eastAsia="zh-CN"/>
        </w:rPr>
        <w:t>法律法规</w:t>
      </w:r>
      <w:r>
        <w:rPr>
          <w:rFonts w:hint="eastAsia" w:cs="仿宋" w:asciiTheme="minorEastAsia" w:hAnsiTheme="minorEastAsia"/>
          <w:sz w:val="24"/>
        </w:rPr>
        <w:t>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2.3 “成交人”系指是指经采购人确定的本项目供应商。</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2.4“负责人”系指法人企业的法定负责人，或其他组织为法律、行政法规规定代表单位行使职权的主要负责人。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2.5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1"/>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1"/>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7"/>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cs="仿宋" w:asciiTheme="minorEastAsia" w:hAnsiTheme="minorEastAsia"/>
          <w:snapToGrid w:val="0"/>
          <w:kern w:val="28"/>
          <w:sz w:val="24"/>
        </w:rPr>
      </w:pPr>
      <w:r>
        <w:rPr>
          <w:rFonts w:hint="eastAsia" w:cs="仿宋" w:asciiTheme="minorEastAsia" w:hAnsiTheme="minorEastAsia"/>
          <w:snapToGrid w:val="0"/>
          <w:kern w:val="28"/>
          <w:sz w:val="24"/>
        </w:rPr>
        <w:t>详见采购公告中获取询价采购文件的时间期限、地点、方式。</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w:t>
      </w:r>
      <w:r>
        <w:rPr>
          <w:rFonts w:hint="eastAsia" w:cs="仿宋" w:asciiTheme="minorEastAsia" w:hAnsiTheme="minorEastAsia"/>
          <w:b/>
          <w:sz w:val="24"/>
          <w:szCs w:val="24"/>
          <w:lang w:eastAsia="zh-CN"/>
        </w:rPr>
        <w:t>截止前</w:t>
      </w:r>
      <w:r>
        <w:rPr>
          <w:rFonts w:hint="eastAsia" w:cs="仿宋" w:asciiTheme="minorEastAsia" w:hAnsiTheme="minorEastAsia"/>
          <w:b/>
          <w:sz w:val="24"/>
          <w:szCs w:val="24"/>
        </w:rPr>
        <w:t>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1"/>
        <w:snapToGrid w:val="0"/>
        <w:spacing w:before="0"/>
        <w:ind w:firstLine="482"/>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1"/>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1"/>
        <w:spacing w:before="0"/>
        <w:ind w:firstLine="482"/>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1"/>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1"/>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1"/>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1"/>
        <w:spacing w:before="0"/>
        <w:ind w:firstLine="482"/>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1"/>
        <w:spacing w:before="0"/>
        <w:ind w:firstLine="482"/>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1"/>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1"/>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1"/>
        <w:spacing w:before="0"/>
        <w:ind w:firstLine="0" w:firstLineChars="0"/>
        <w:jc w:val="center"/>
        <w:rPr>
          <w:rFonts w:cs="仿宋" w:asciiTheme="minorEastAsia" w:hAnsiTheme="minorEastAsia"/>
          <w:b/>
          <w:sz w:val="32"/>
        </w:rPr>
      </w:pPr>
    </w:p>
    <w:p>
      <w:pPr>
        <w:pStyle w:val="21"/>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2"/>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2"/>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15.1采购人按照询价采购文件规定的时间组织响应文件的开启，邀请所有供应商参加开启。供应商不足3家或者缴纳询价保证金少于3家（若有要求）的，不得开启拆封响应文件。</w:t>
      </w:r>
    </w:p>
    <w:p>
      <w:pPr>
        <w:pStyle w:val="22"/>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1"/>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1"/>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1"/>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1"/>
        <w:spacing w:before="0"/>
        <w:ind w:firstLine="482"/>
        <w:rPr>
          <w:rFonts w:cs="仿宋" w:asciiTheme="minorEastAsia" w:hAnsiTheme="minorEastAsia"/>
          <w:b/>
          <w:szCs w:val="24"/>
        </w:rPr>
      </w:pPr>
      <w:r>
        <w:rPr>
          <w:rFonts w:hint="eastAsia" w:cs="仿宋" w:asciiTheme="minorEastAsia" w:hAnsiTheme="minorEastAsia"/>
          <w:b/>
          <w:szCs w:val="24"/>
        </w:rPr>
        <w:t>17.信用信息查询</w:t>
      </w:r>
    </w:p>
    <w:p>
      <w:pPr>
        <w:pStyle w:val="21"/>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t>
      </w:r>
      <w:r>
        <w:rPr>
          <w:rFonts w:hint="eastAsia" w:cs="仿宋" w:asciiTheme="minorEastAsia" w:hAnsiTheme="minorEastAsia"/>
          <w:kern w:val="0"/>
          <w:szCs w:val="24"/>
          <w:lang w:eastAsia="zh-CN"/>
        </w:rPr>
        <w:t>（</w:t>
      </w:r>
      <w:r>
        <w:rPr>
          <w:rFonts w:hint="eastAsia" w:cs="仿宋" w:asciiTheme="minorEastAsia" w:hAnsiTheme="minorEastAsia"/>
          <w:kern w:val="0"/>
          <w:szCs w:val="24"/>
        </w:rPr>
        <w:t>www.creditchina.gov.cn</w:t>
      </w:r>
      <w:r>
        <w:rPr>
          <w:rFonts w:hint="eastAsia" w:cs="仿宋" w:asciiTheme="minorEastAsia" w:hAnsiTheme="minorEastAsia"/>
          <w:kern w:val="0"/>
          <w:szCs w:val="24"/>
          <w:lang w:eastAsia="zh-CN"/>
        </w:rPr>
        <w:t>）</w:t>
      </w:r>
      <w:r>
        <w:rPr>
          <w:rFonts w:hint="eastAsia" w:cs="仿宋" w:asciiTheme="minorEastAsia" w:hAnsiTheme="minorEastAsia"/>
          <w:kern w:val="0"/>
          <w:szCs w:val="24"/>
        </w:rPr>
        <w:t>、中国政府采购网《政府采购严重违法失信行为记录名单》</w:t>
      </w:r>
      <w:r>
        <w:rPr>
          <w:rFonts w:hint="eastAsia" w:cs="仿宋" w:asciiTheme="minorEastAsia" w:hAnsiTheme="minorEastAsia"/>
          <w:kern w:val="0"/>
          <w:szCs w:val="24"/>
          <w:lang w:eastAsia="zh-CN"/>
        </w:rPr>
        <w:t>（</w:t>
      </w:r>
      <w:r>
        <w:rPr>
          <w:rFonts w:hint="eastAsia" w:cs="仿宋" w:asciiTheme="minorEastAsia" w:hAnsiTheme="minorEastAsia"/>
          <w:kern w:val="0"/>
          <w:szCs w:val="24"/>
        </w:rPr>
        <w:t>www.ccgp.gov.cn</w:t>
      </w:r>
      <w:r>
        <w:rPr>
          <w:rFonts w:hint="eastAsia" w:cs="仿宋" w:asciiTheme="minorEastAsia" w:hAnsiTheme="minorEastAsia"/>
          <w:kern w:val="0"/>
          <w:szCs w:val="24"/>
          <w:lang w:eastAsia="zh-CN"/>
        </w:rPr>
        <w:t>）</w:t>
      </w:r>
      <w:r>
        <w:rPr>
          <w:rFonts w:hint="eastAsia" w:cs="仿宋" w:asciiTheme="minorEastAsia" w:hAnsiTheme="minorEastAsia"/>
          <w:kern w:val="0"/>
          <w:szCs w:val="24"/>
        </w:rPr>
        <w:t>渠道查询供应商响应截止时间当天的信用记录。</w:t>
      </w:r>
    </w:p>
    <w:p>
      <w:pPr>
        <w:pStyle w:val="21"/>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1"/>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1"/>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9"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1"/>
        <w:snapToGrid w:val="0"/>
        <w:spacing w:before="0"/>
        <w:ind w:firstLine="482"/>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1"/>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1"/>
        <w:snapToGrid w:val="0"/>
        <w:spacing w:before="0"/>
        <w:ind w:firstLine="482"/>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w:t>
      </w:r>
      <w:r>
        <w:rPr>
          <w:rFonts w:hint="eastAsia" w:cs="仿宋" w:asciiTheme="minorEastAsia" w:hAnsiTheme="minorEastAsia"/>
          <w:kern w:val="0"/>
          <w:sz w:val="24"/>
          <w:lang w:val="en-US" w:eastAsia="zh-CN"/>
        </w:rPr>
        <w:t>30</w:t>
      </w:r>
      <w:r>
        <w:rPr>
          <w:rFonts w:hint="eastAsia" w:cs="仿宋" w:asciiTheme="minorEastAsia" w:hAnsiTheme="minorEastAsia"/>
          <w:kern w:val="0"/>
          <w:sz w:val="24"/>
        </w:rPr>
        <w:t>个工作日内，与成交供应商按照询价采购文件确定的事项签订采购合同。</w:t>
      </w:r>
    </w:p>
    <w:p>
      <w:pPr>
        <w:pStyle w:val="21"/>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1"/>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1"/>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7"/>
        <w:ind w:firstLine="480" w:firstLineChars="200"/>
      </w:pPr>
      <w:r>
        <w:rPr>
          <w:rFonts w:hint="eastAsia"/>
        </w:rPr>
        <w:t>本项目无预付款。</w:t>
      </w:r>
    </w:p>
    <w:p>
      <w:pPr>
        <w:widowControl/>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供应商的询价保证金将在采购人与成交人签订合同并按要求缴纳履约保证金后全额无息退还。退保证金前，供应商必须提供加盖公章或财务专用章的收款收据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26.4法律法规规定的其他情形。</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2"/>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9"/>
    </w:p>
    <w:p>
      <w:pPr>
        <w:rPr>
          <w:rFonts w:cs="仿宋" w:asciiTheme="minorEastAsia" w:hAnsiTheme="minorEastAsia"/>
          <w:kern w:val="0"/>
          <w:sz w:val="24"/>
        </w:rPr>
      </w:pPr>
    </w:p>
    <w:p>
      <w:pPr>
        <w:pStyle w:val="7"/>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2" w:type="default"/>
          <w:pgSz w:w="11907" w:h="16840"/>
          <w:pgMar w:top="1440" w:right="1803" w:bottom="1440" w:left="1803" w:header="930" w:footer="992" w:gutter="0"/>
          <w:pgBorders>
            <w:top w:val="none" w:sz="0" w:space="0"/>
            <w:left w:val="none" w:sz="0" w:space="0"/>
            <w:bottom w:val="none" w:sz="0" w:space="0"/>
            <w:right w:val="none" w:sz="0" w:space="0"/>
          </w:pgBorders>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一、采购内容</w:t>
      </w:r>
    </w:p>
    <w:p>
      <w:pPr>
        <w:pStyle w:val="7"/>
        <w:ind w:firstLine="480" w:firstLineChars="200"/>
        <w:rPr>
          <w:rFonts w:hint="eastAsia"/>
          <w:lang w:val="en-US"/>
        </w:rPr>
      </w:pPr>
      <w:r>
        <w:rPr>
          <w:rFonts w:hint="eastAsia"/>
          <w:lang w:val="en-US"/>
        </w:rPr>
        <w:t>杭州临江环境能源有限公司</w:t>
      </w:r>
      <w:r>
        <w:rPr>
          <w:rFonts w:hint="eastAsia"/>
          <w:lang w:val="en-US" w:eastAsia="zh-CN"/>
        </w:rPr>
        <w:t>百得</w:t>
      </w:r>
      <w:r>
        <w:rPr>
          <w:rFonts w:hint="eastAsia"/>
          <w:lang w:val="en-US"/>
        </w:rPr>
        <w:t>主燃烧器型号</w:t>
      </w:r>
      <w:r>
        <w:rPr>
          <w:rFonts w:hint="eastAsia"/>
          <w:lang w:val="en-US" w:eastAsia="zh-CN"/>
        </w:rPr>
        <w:t>：</w:t>
      </w:r>
      <w:r>
        <w:rPr>
          <w:rFonts w:hint="eastAsia"/>
          <w:lang w:val="en-US"/>
        </w:rPr>
        <w:t xml:space="preserve">TS 3 L </w:t>
      </w:r>
      <w:r>
        <w:rPr>
          <w:rFonts w:hint="eastAsia"/>
          <w:lang w:val="en-US" w:eastAsia="zh-CN"/>
        </w:rPr>
        <w:t>，</w:t>
      </w:r>
      <w:r>
        <w:rPr>
          <w:rFonts w:hint="eastAsia"/>
          <w:lang w:val="en-US"/>
        </w:rPr>
        <w:t>百得辅助燃烧器型号：TBR 2OL MC</w:t>
      </w:r>
      <w:r>
        <w:rPr>
          <w:rFonts w:hint="eastAsia"/>
          <w:lang w:val="en-US" w:eastAsia="zh-CN"/>
        </w:rPr>
        <w:t>，</w:t>
      </w:r>
      <w:r>
        <w:rPr>
          <w:rFonts w:hint="eastAsia"/>
          <w:lang w:val="en-US"/>
        </w:rPr>
        <w:t>需</w:t>
      </w:r>
      <w:r>
        <w:rPr>
          <w:rFonts w:hint="eastAsia"/>
          <w:lang w:val="en-US" w:eastAsia="zh-CN"/>
        </w:rPr>
        <w:t>采购备件</w:t>
      </w:r>
      <w:r>
        <w:rPr>
          <w:rFonts w:hint="eastAsia"/>
          <w:lang w:val="en-US"/>
        </w:rPr>
        <w:t>一批</w:t>
      </w:r>
      <w:r>
        <w:rPr>
          <w:rFonts w:hint="eastAsia"/>
          <w:lang w:val="en-US" w:eastAsia="zh-CN"/>
        </w:rPr>
        <w:t>，</w:t>
      </w:r>
      <w:r>
        <w:rPr>
          <w:rFonts w:hint="eastAsia"/>
          <w:lang w:val="en-US"/>
        </w:rPr>
        <w:t>具体如下：</w:t>
      </w:r>
    </w:p>
    <w:tbl>
      <w:tblPr>
        <w:tblStyle w:val="15"/>
        <w:tblpPr w:leftFromText="180" w:rightFromText="180" w:vertAnchor="text" w:horzAnchor="page" w:tblpX="1661" w:tblpY="321"/>
        <w:tblOverlap w:val="never"/>
        <w:tblW w:w="90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55"/>
        <w:gridCol w:w="1274"/>
        <w:gridCol w:w="675"/>
        <w:gridCol w:w="4620"/>
        <w:gridCol w:w="856"/>
        <w:gridCol w:w="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8" w:hRule="atLeast"/>
        </w:trPr>
        <w:tc>
          <w:tcPr>
            <w:tcW w:w="8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2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名称</w:t>
            </w:r>
          </w:p>
        </w:tc>
        <w:tc>
          <w:tcPr>
            <w:tcW w:w="6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品牌</w:t>
            </w:r>
          </w:p>
        </w:tc>
        <w:tc>
          <w:tcPr>
            <w:tcW w:w="46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型号规格</w:t>
            </w:r>
          </w:p>
        </w:tc>
        <w:tc>
          <w:tcPr>
            <w:tcW w:w="85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2" w:hRule="atLeast"/>
        </w:trPr>
        <w:tc>
          <w:tcPr>
            <w:tcW w:w="8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油嘴</w:t>
            </w:r>
          </w:p>
        </w:tc>
        <w:tc>
          <w:tcPr>
            <w:tcW w:w="6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百得</w:t>
            </w:r>
          </w:p>
        </w:tc>
        <w:tc>
          <w:tcPr>
            <w:tcW w:w="46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2000Kg,TBR20</w:t>
            </w:r>
          </w:p>
        </w:tc>
        <w:tc>
          <w:tcPr>
            <w:tcW w:w="85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2" w:hRule="atLeast"/>
        </w:trPr>
        <w:tc>
          <w:tcPr>
            <w:tcW w:w="8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2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点火油嘴</w:t>
            </w:r>
          </w:p>
        </w:tc>
        <w:tc>
          <w:tcPr>
            <w:tcW w:w="6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百得</w:t>
            </w:r>
          </w:p>
        </w:tc>
        <w:tc>
          <w:tcPr>
            <w:tcW w:w="46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 45，</w:t>
            </w:r>
          </w:p>
        </w:tc>
        <w:tc>
          <w:tcPr>
            <w:tcW w:w="85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2" w:hRule="atLeast"/>
        </w:trPr>
        <w:tc>
          <w:tcPr>
            <w:tcW w:w="8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2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火焰盘</w:t>
            </w:r>
          </w:p>
        </w:tc>
        <w:tc>
          <w:tcPr>
            <w:tcW w:w="6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百得</w:t>
            </w:r>
          </w:p>
        </w:tc>
        <w:tc>
          <w:tcPr>
            <w:tcW w:w="46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DISC 600*55+OUT RING,TBR20,</w:t>
            </w:r>
          </w:p>
        </w:tc>
        <w:tc>
          <w:tcPr>
            <w:tcW w:w="85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2" w:hRule="atLeast"/>
        </w:trPr>
        <w:tc>
          <w:tcPr>
            <w:tcW w:w="8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2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整套油枪</w:t>
            </w:r>
          </w:p>
        </w:tc>
        <w:tc>
          <w:tcPr>
            <w:tcW w:w="6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百得</w:t>
            </w:r>
          </w:p>
        </w:tc>
        <w:tc>
          <w:tcPr>
            <w:tcW w:w="46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AS.GRUPPO POLV.TBR20</w:t>
            </w:r>
          </w:p>
        </w:tc>
        <w:tc>
          <w:tcPr>
            <w:tcW w:w="85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2" w:hRule="atLeast"/>
        </w:trPr>
        <w:tc>
          <w:tcPr>
            <w:tcW w:w="8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2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火焰盘支架</w:t>
            </w:r>
          </w:p>
        </w:tc>
        <w:tc>
          <w:tcPr>
            <w:tcW w:w="6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百得</w:t>
            </w:r>
          </w:p>
        </w:tc>
        <w:tc>
          <w:tcPr>
            <w:tcW w:w="46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SUPPORT TS3L, BALTUR</w:t>
            </w:r>
          </w:p>
        </w:tc>
        <w:tc>
          <w:tcPr>
            <w:tcW w:w="85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2" w:hRule="atLeast"/>
        </w:trPr>
        <w:tc>
          <w:tcPr>
            <w:tcW w:w="8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2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观火镜玻璃</w:t>
            </w:r>
          </w:p>
        </w:tc>
        <w:tc>
          <w:tcPr>
            <w:tcW w:w="6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百得</w:t>
            </w:r>
          </w:p>
        </w:tc>
        <w:tc>
          <w:tcPr>
            <w:tcW w:w="46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D100</w:t>
            </w:r>
          </w:p>
        </w:tc>
        <w:tc>
          <w:tcPr>
            <w:tcW w:w="85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2" w:hRule="atLeast"/>
        </w:trPr>
        <w:tc>
          <w:tcPr>
            <w:tcW w:w="8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2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密封组件</w:t>
            </w:r>
          </w:p>
        </w:tc>
        <w:tc>
          <w:tcPr>
            <w:tcW w:w="6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百得</w:t>
            </w:r>
          </w:p>
        </w:tc>
        <w:tc>
          <w:tcPr>
            <w:tcW w:w="46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SEAL TBR20-6pcs</w:t>
            </w:r>
          </w:p>
        </w:tc>
        <w:tc>
          <w:tcPr>
            <w:tcW w:w="85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2" w:hRule="atLeast"/>
        </w:trPr>
        <w:tc>
          <w:tcPr>
            <w:tcW w:w="8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2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油嘴</w:t>
            </w:r>
          </w:p>
        </w:tc>
        <w:tc>
          <w:tcPr>
            <w:tcW w:w="6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百得</w:t>
            </w:r>
          </w:p>
        </w:tc>
        <w:tc>
          <w:tcPr>
            <w:tcW w:w="46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600Kg,RETURN NOZZLE</w:t>
            </w:r>
          </w:p>
        </w:tc>
        <w:tc>
          <w:tcPr>
            <w:tcW w:w="85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2" w:hRule="atLeast"/>
        </w:trPr>
        <w:tc>
          <w:tcPr>
            <w:tcW w:w="8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2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火焰盘</w:t>
            </w:r>
          </w:p>
        </w:tc>
        <w:tc>
          <w:tcPr>
            <w:tcW w:w="6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百得</w:t>
            </w:r>
          </w:p>
        </w:tc>
        <w:tc>
          <w:tcPr>
            <w:tcW w:w="46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DISC 300*55 RING,TS3L,</w:t>
            </w:r>
          </w:p>
        </w:tc>
        <w:tc>
          <w:tcPr>
            <w:tcW w:w="85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2" w:hRule="atLeast"/>
        </w:trPr>
        <w:tc>
          <w:tcPr>
            <w:tcW w:w="8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2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伺服电机</w:t>
            </w:r>
          </w:p>
        </w:tc>
        <w:tc>
          <w:tcPr>
            <w:tcW w:w="6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百得</w:t>
            </w:r>
          </w:p>
        </w:tc>
        <w:tc>
          <w:tcPr>
            <w:tcW w:w="46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MDL54 CONTROLLI,PID4-20mA</w:t>
            </w:r>
          </w:p>
        </w:tc>
        <w:tc>
          <w:tcPr>
            <w:tcW w:w="85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5" w:hRule="atLeast"/>
        </w:trPr>
        <w:tc>
          <w:tcPr>
            <w:tcW w:w="8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2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进油电磁阀</w:t>
            </w:r>
          </w:p>
        </w:tc>
        <w:tc>
          <w:tcPr>
            <w:tcW w:w="6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百得</w:t>
            </w:r>
          </w:p>
        </w:tc>
        <w:tc>
          <w:tcPr>
            <w:tcW w:w="46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G3/4 0-40bar，NC，98VDC，密封件：FPM/PTFE/FPM,含插头</w:t>
            </w:r>
          </w:p>
        </w:tc>
        <w:tc>
          <w:tcPr>
            <w:tcW w:w="85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bl>
    <w:p>
      <w:pPr>
        <w:pStyle w:val="7"/>
        <w:ind w:firstLine="480" w:firstLineChars="200"/>
        <w:rPr>
          <w:b/>
          <w:bCs/>
          <w:lang w:val="en-US"/>
        </w:rPr>
      </w:pPr>
      <w:r>
        <w:rPr>
          <w:rFonts w:hint="eastAsia" w:cs="仿宋" w:asciiTheme="minorEastAsia" w:hAnsiTheme="minorEastAsia"/>
          <w:kern w:val="0"/>
        </w:rPr>
        <w:t>▲</w:t>
      </w:r>
      <w:r>
        <w:rPr>
          <w:rFonts w:hint="eastAsia"/>
          <w:b/>
          <w:bCs/>
          <w:lang w:val="en-US"/>
        </w:rPr>
        <w:t>二、合同期限及履约方式</w:t>
      </w:r>
    </w:p>
    <w:p>
      <w:pPr>
        <w:pStyle w:val="7"/>
        <w:ind w:firstLine="480" w:firstLineChars="200"/>
        <w:rPr>
          <w:lang w:val="en-US"/>
        </w:rPr>
      </w:pPr>
      <w:r>
        <w:rPr>
          <w:rFonts w:hint="eastAsia"/>
          <w:lang w:val="en-US"/>
        </w:rPr>
        <w:t>1.合同期限：自合同签订后12个月；</w:t>
      </w:r>
    </w:p>
    <w:p>
      <w:pPr>
        <w:pStyle w:val="7"/>
        <w:ind w:firstLine="480" w:firstLineChars="200"/>
        <w:rPr>
          <w:rFonts w:hint="eastAsia"/>
          <w:lang w:val="en-US"/>
        </w:rPr>
      </w:pPr>
      <w:r>
        <w:rPr>
          <w:rFonts w:hint="eastAsia"/>
          <w:lang w:val="en-US"/>
        </w:rPr>
        <w:t>2.履约方式：</w:t>
      </w:r>
      <w:r>
        <w:rPr>
          <w:rFonts w:hint="eastAsia"/>
          <w:lang w:val="en-US" w:eastAsia="zh-CN"/>
        </w:rPr>
        <w:t>分批</w:t>
      </w:r>
      <w:r>
        <w:rPr>
          <w:rFonts w:hint="eastAsia"/>
          <w:lang w:val="en-US"/>
        </w:rPr>
        <w:t>供货。</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三、技术、质量要求</w:t>
      </w:r>
    </w:p>
    <w:p>
      <w:pPr>
        <w:pStyle w:val="7"/>
        <w:ind w:firstLine="480" w:firstLineChars="200"/>
        <w:rPr>
          <w:lang w:val="en-US"/>
        </w:rPr>
      </w:pPr>
      <w:r>
        <w:rPr>
          <w:rFonts w:hint="eastAsia"/>
          <w:lang w:val="en-US"/>
        </w:rPr>
        <w:t>1.型号等技术参数满足采购内容中的规格型号/技术要求</w:t>
      </w:r>
      <w:r>
        <w:rPr>
          <w:rFonts w:hint="eastAsia" w:hAnsi="宋体" w:cs="宋体"/>
          <w:color w:val="000000"/>
          <w:kern w:val="0"/>
        </w:rPr>
        <w:t>。</w:t>
      </w:r>
    </w:p>
    <w:p>
      <w:pPr>
        <w:pStyle w:val="7"/>
        <w:ind w:firstLine="480" w:firstLineChars="200"/>
        <w:rPr>
          <w:lang w:val="en-US"/>
        </w:rPr>
      </w:pPr>
      <w:r>
        <w:rPr>
          <w:rFonts w:hint="eastAsia"/>
          <w:lang w:val="en-US"/>
        </w:rPr>
        <w:t>2.</w:t>
      </w:r>
      <w:r>
        <w:rPr>
          <w:rFonts w:hint="eastAsia" w:cs="仿宋" w:asciiTheme="minorEastAsia" w:hAnsiTheme="minorEastAsia"/>
        </w:rPr>
        <w:t>供应商</w:t>
      </w:r>
      <w:r>
        <w:rPr>
          <w:rFonts w:hint="eastAsia"/>
          <w:lang w:val="en-US"/>
        </w:rPr>
        <w:t>提供的</w:t>
      </w:r>
      <w:r>
        <w:rPr>
          <w:rFonts w:hint="eastAsia"/>
          <w:lang w:val="en-US" w:eastAsia="zh-CN"/>
        </w:rPr>
        <w:t>意大利百得燃烧器备件</w:t>
      </w:r>
      <w:r>
        <w:rPr>
          <w:rFonts w:hint="eastAsia"/>
          <w:lang w:val="en-US"/>
        </w:rPr>
        <w:t>必须为原厂正品，不得为假冒伪劣产品。</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7"/>
        <w:ind w:firstLine="480" w:firstLineChars="200"/>
        <w:rPr>
          <w:lang w:val="en-US"/>
        </w:rPr>
      </w:pPr>
      <w:r>
        <w:rPr>
          <w:rFonts w:hint="eastAsia"/>
          <w:lang w:val="en-US"/>
        </w:rPr>
        <w:t>1.</w:t>
      </w:r>
      <w:r>
        <w:rPr>
          <w:rFonts w:hint="eastAsia" w:cs="仿宋" w:asciiTheme="minorEastAsia" w:hAnsiTheme="minorEastAsia"/>
        </w:rPr>
        <w:t>供应商</w:t>
      </w:r>
      <w:r>
        <w:rPr>
          <w:rFonts w:hint="eastAsia"/>
          <w:lang w:val="en-US"/>
        </w:rPr>
        <w:t>须提供该批次货物出厂检验合格报告或合格证或原厂质量证明和送货单，配合采购人做好货物的到货数量验收工作，将货物运达采购人指定交货地点后及时书面通知采购人。</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7"/>
        <w:ind w:firstLine="480" w:firstLineChars="200"/>
        <w:rPr>
          <w:lang w:val="en-US"/>
        </w:rPr>
      </w:pPr>
      <w:r>
        <w:rPr>
          <w:rFonts w:hint="eastAsia"/>
          <w:lang w:val="en-US"/>
        </w:rPr>
        <w:t>1</w:t>
      </w:r>
      <w:r>
        <w:rPr>
          <w:lang w:val="en-US"/>
        </w:rPr>
        <w:t>.</w:t>
      </w:r>
      <w:r>
        <w:rPr>
          <w:rFonts w:hint="eastAsia"/>
          <w:lang w:val="en-US"/>
        </w:rPr>
        <w:t>在采购人发出送货通知后，成交人</w:t>
      </w:r>
      <w:r>
        <w:rPr>
          <w:rFonts w:hint="eastAsia"/>
          <w:lang w:val="en-US" w:eastAsia="zh-CN"/>
        </w:rPr>
        <w:t>15个工作日内将货物</w:t>
      </w:r>
      <w:r>
        <w:rPr>
          <w:rFonts w:hint="eastAsia"/>
          <w:lang w:val="en-US"/>
        </w:rPr>
        <w:t>如数送至采购人指定地点。</w:t>
      </w:r>
    </w:p>
    <w:p>
      <w:pPr>
        <w:pStyle w:val="8"/>
        <w:rPr>
          <w:rFonts w:hAnsi="Arial" w:cs="Arial"/>
          <w:snapToGrid w:val="0"/>
          <w:szCs w:val="21"/>
          <w:lang w:val="en-US"/>
        </w:rPr>
      </w:pPr>
      <w:r>
        <w:rPr>
          <w:rFonts w:hint="eastAsia" w:hAnsi="Arial" w:cs="Arial"/>
          <w:snapToGrid w:val="0"/>
          <w:szCs w:val="21"/>
          <w:lang w:val="en-US"/>
        </w:rPr>
        <w:t>2</w:t>
      </w:r>
      <w:r>
        <w:rPr>
          <w:rFonts w:hAnsi="Arial" w:cs="Arial"/>
          <w:snapToGrid w:val="0"/>
          <w:szCs w:val="21"/>
          <w:lang w:val="en-US"/>
        </w:rPr>
        <w:t>.</w:t>
      </w:r>
      <w:r>
        <w:rPr>
          <w:rFonts w:hint="eastAsia" w:hAnsi="Arial" w:cs="Arial"/>
          <w:snapToGrid w:val="0"/>
          <w:szCs w:val="21"/>
          <w:lang w:val="en-US"/>
        </w:rPr>
        <w:t>质保期：验收合格后1年。</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8"/>
        <w:ind w:firstLine="480" w:firstLineChars="200"/>
        <w:rPr>
          <w:lang w:val="en-US"/>
        </w:rPr>
      </w:pPr>
      <w:r>
        <w:rPr>
          <w:rFonts w:hint="eastAsia"/>
          <w:lang w:val="en-US"/>
        </w:rPr>
        <w:t>以本询价采购文件中的合同条款为准。</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7"/>
        <w:ind w:firstLine="480" w:firstLineChars="200"/>
        <w:rPr>
          <w:lang w:val="en-US"/>
        </w:rPr>
      </w:pPr>
      <w:r>
        <w:rPr>
          <w:rFonts w:hint="eastAsia"/>
          <w:lang w:val="en-US"/>
        </w:rPr>
        <w:t>1.成交人必须满足采购人售后服务要求。如使用过程发生问题，成交人须在接到采购人通知后必须4小时内赶到现场进行处理，12小时内做出书面答复并提供解决方案。若需要派遣技术人员，则应在接到采购人通知后</w:t>
      </w:r>
      <w:r>
        <w:rPr>
          <w:rFonts w:hint="eastAsia"/>
          <w:lang w:val="en-US" w:eastAsia="zh-CN"/>
        </w:rPr>
        <w:t>，</w:t>
      </w:r>
      <w:r>
        <w:rPr>
          <w:rFonts w:hint="eastAsia"/>
          <w:lang w:val="en-US"/>
        </w:rPr>
        <w:t>24小时内派人员到达现场进行免费指导解决问题。</w:t>
      </w:r>
    </w:p>
    <w:p>
      <w:pPr>
        <w:pStyle w:val="7"/>
        <w:ind w:firstLine="480" w:firstLineChars="200"/>
        <w:rPr>
          <w:lang w:val="en-US"/>
        </w:rPr>
      </w:pPr>
      <w:r>
        <w:rPr>
          <w:rFonts w:hint="eastAsia"/>
          <w:lang w:val="en-US"/>
        </w:rPr>
        <w:t>2.采购人不再对任何售后服务进行付费。成交人的派遣人员产生的一切费用由供应商承担。</w:t>
      </w:r>
    </w:p>
    <w:p>
      <w:pPr>
        <w:spacing w:line="460" w:lineRule="exact"/>
        <w:jc w:val="center"/>
        <w:rPr>
          <w:rFonts w:cs="仿宋" w:asciiTheme="minorEastAsia" w:hAnsiTheme="minorEastAsia"/>
          <w:b/>
          <w:sz w:val="36"/>
          <w:szCs w:val="36"/>
        </w:rPr>
      </w:pPr>
    </w:p>
    <w:p>
      <w:pPr>
        <w:spacing w:line="460" w:lineRule="exact"/>
        <w:jc w:val="center"/>
        <w:rPr>
          <w:rFonts w:cs="仿宋" w:asciiTheme="minorEastAsia" w:hAnsiTheme="minorEastAsia"/>
          <w:b/>
          <w:sz w:val="24"/>
        </w:rPr>
      </w:pPr>
      <w:r>
        <w:rPr>
          <w:rFonts w:hint="eastAsia" w:cs="仿宋" w:asciiTheme="minorEastAsia" w:hAnsiTheme="minorEastAsia"/>
          <w:b/>
          <w:sz w:val="36"/>
          <w:szCs w:val="36"/>
        </w:rPr>
        <w:t xml:space="preserve">第四部分  </w:t>
      </w:r>
      <w:bookmarkStart w:id="20" w:name="_Toc184312138"/>
      <w:bookmarkEnd w:id="20"/>
      <w:bookmarkStart w:id="21" w:name="_Toc184310295"/>
      <w:bookmarkEnd w:id="21"/>
      <w:bookmarkStart w:id="22" w:name="_Toc184313284"/>
      <w:bookmarkEnd w:id="22"/>
      <w:bookmarkStart w:id="23" w:name="_Toc184308045"/>
      <w:bookmarkEnd w:id="23"/>
      <w:bookmarkStart w:id="24" w:name="_Toc184310298"/>
      <w:bookmarkEnd w:id="24"/>
      <w:bookmarkStart w:id="25" w:name="_Toc184312121"/>
      <w:bookmarkEnd w:id="25"/>
      <w:bookmarkStart w:id="26" w:name="_Toc184314428"/>
      <w:bookmarkEnd w:id="26"/>
      <w:bookmarkStart w:id="27" w:name="_Toc184312105"/>
      <w:bookmarkEnd w:id="27"/>
      <w:bookmarkStart w:id="28" w:name="_Toc184313238"/>
      <w:bookmarkEnd w:id="28"/>
      <w:bookmarkStart w:id="29" w:name="_Toc184313253"/>
      <w:bookmarkEnd w:id="29"/>
      <w:bookmarkStart w:id="30" w:name="_Toc184310343"/>
      <w:bookmarkEnd w:id="30"/>
      <w:bookmarkStart w:id="31" w:name="_Toc184313269"/>
      <w:bookmarkEnd w:id="31"/>
      <w:bookmarkStart w:id="32" w:name="_Toc184313247"/>
      <w:bookmarkEnd w:id="32"/>
      <w:bookmarkStart w:id="33" w:name="_Toc184308043"/>
      <w:bookmarkEnd w:id="33"/>
      <w:bookmarkStart w:id="34" w:name="_Toc184314417"/>
      <w:bookmarkEnd w:id="34"/>
      <w:bookmarkStart w:id="35" w:name="_Toc184310301"/>
      <w:bookmarkEnd w:id="35"/>
      <w:bookmarkStart w:id="36" w:name="_Toc184313306"/>
      <w:bookmarkEnd w:id="36"/>
      <w:bookmarkStart w:id="37" w:name="_Toc184314452"/>
      <w:bookmarkEnd w:id="37"/>
      <w:bookmarkStart w:id="38" w:name="_Toc184312106"/>
      <w:bookmarkEnd w:id="38"/>
      <w:bookmarkStart w:id="39" w:name="_Toc184310307"/>
      <w:bookmarkEnd w:id="39"/>
      <w:bookmarkStart w:id="40" w:name="_Toc184314462"/>
      <w:bookmarkEnd w:id="40"/>
      <w:bookmarkStart w:id="41" w:name="_Toc184310290"/>
      <w:bookmarkEnd w:id="41"/>
      <w:bookmarkStart w:id="42" w:name="_Toc184314461"/>
      <w:bookmarkEnd w:id="42"/>
      <w:bookmarkStart w:id="43" w:name="_Toc184313246"/>
      <w:bookmarkEnd w:id="43"/>
      <w:bookmarkStart w:id="44" w:name="_Toc184312070"/>
      <w:bookmarkEnd w:id="44"/>
      <w:bookmarkStart w:id="45" w:name="_Toc184312115"/>
      <w:bookmarkEnd w:id="45"/>
      <w:bookmarkStart w:id="46" w:name="_Toc184313257"/>
      <w:bookmarkEnd w:id="46"/>
      <w:bookmarkStart w:id="47" w:name="_Toc184313261"/>
      <w:bookmarkEnd w:id="47"/>
      <w:bookmarkStart w:id="48" w:name="_Toc184314456"/>
      <w:bookmarkEnd w:id="48"/>
      <w:bookmarkStart w:id="49" w:name="_Toc184314441"/>
      <w:bookmarkEnd w:id="49"/>
      <w:bookmarkStart w:id="50" w:name="_Toc184313251"/>
      <w:bookmarkEnd w:id="50"/>
      <w:bookmarkStart w:id="51" w:name="_Toc184308036"/>
      <w:bookmarkEnd w:id="51"/>
      <w:bookmarkStart w:id="52" w:name="_Toc184313290"/>
      <w:bookmarkEnd w:id="52"/>
      <w:bookmarkStart w:id="53" w:name="_Toc184312110"/>
      <w:bookmarkEnd w:id="53"/>
      <w:bookmarkStart w:id="54" w:name="_Toc184310285"/>
      <w:bookmarkEnd w:id="54"/>
      <w:bookmarkStart w:id="55" w:name="_Toc184308042"/>
      <w:bookmarkEnd w:id="55"/>
      <w:bookmarkStart w:id="56" w:name="_Toc184312080"/>
      <w:bookmarkEnd w:id="56"/>
      <w:bookmarkStart w:id="57" w:name="_Toc184310339"/>
      <w:bookmarkEnd w:id="57"/>
      <w:bookmarkStart w:id="58" w:name="_Toc184308078"/>
      <w:bookmarkEnd w:id="58"/>
      <w:bookmarkStart w:id="59" w:name="_Toc184313288"/>
      <w:bookmarkEnd w:id="59"/>
      <w:bookmarkStart w:id="60" w:name="_Toc184312129"/>
      <w:bookmarkEnd w:id="60"/>
      <w:bookmarkStart w:id="61" w:name="_Toc184314437"/>
      <w:bookmarkEnd w:id="61"/>
      <w:bookmarkStart w:id="62" w:name="_Toc184313241"/>
      <w:bookmarkEnd w:id="62"/>
      <w:bookmarkStart w:id="63" w:name="_Toc184312120"/>
      <w:bookmarkEnd w:id="63"/>
      <w:bookmarkStart w:id="64" w:name="_Toc184313281"/>
      <w:bookmarkEnd w:id="64"/>
      <w:bookmarkStart w:id="65" w:name="_Toc184310292"/>
      <w:bookmarkEnd w:id="65"/>
      <w:bookmarkStart w:id="66" w:name="_Toc184312073"/>
      <w:bookmarkEnd w:id="66"/>
      <w:bookmarkStart w:id="67" w:name="_Toc184312126"/>
      <w:bookmarkEnd w:id="67"/>
      <w:bookmarkStart w:id="68" w:name="_Toc184312090"/>
      <w:bookmarkEnd w:id="68"/>
      <w:bookmarkStart w:id="69" w:name="_Toc184308080"/>
      <w:bookmarkEnd w:id="69"/>
      <w:bookmarkStart w:id="70" w:name="_Toc184308040"/>
      <w:bookmarkEnd w:id="70"/>
      <w:bookmarkStart w:id="71" w:name="_Toc184313252"/>
      <w:bookmarkEnd w:id="71"/>
      <w:bookmarkStart w:id="72" w:name="_Toc184312113"/>
      <w:bookmarkEnd w:id="72"/>
      <w:bookmarkStart w:id="73" w:name="_Toc184312125"/>
      <w:bookmarkEnd w:id="73"/>
      <w:bookmarkStart w:id="74" w:name="_Toc184312136"/>
      <w:bookmarkEnd w:id="74"/>
      <w:bookmarkStart w:id="75" w:name="_Toc184314438"/>
      <w:bookmarkEnd w:id="75"/>
      <w:bookmarkStart w:id="76" w:name="_Toc184312093"/>
      <w:bookmarkEnd w:id="76"/>
      <w:bookmarkStart w:id="77" w:name="_Toc184314450"/>
      <w:bookmarkEnd w:id="77"/>
      <w:bookmarkStart w:id="78" w:name="_Toc184314468"/>
      <w:bookmarkEnd w:id="78"/>
      <w:bookmarkStart w:id="79" w:name="_Toc184314477"/>
      <w:bookmarkEnd w:id="79"/>
      <w:bookmarkStart w:id="80" w:name="_Toc184313259"/>
      <w:bookmarkEnd w:id="80"/>
      <w:bookmarkStart w:id="81" w:name="_Toc184308067"/>
      <w:bookmarkEnd w:id="81"/>
      <w:bookmarkStart w:id="82" w:name="_Toc184308087"/>
      <w:bookmarkEnd w:id="82"/>
      <w:bookmarkStart w:id="83" w:name="_Toc184310342"/>
      <w:bookmarkEnd w:id="83"/>
      <w:bookmarkStart w:id="84" w:name="_Toc184313256"/>
      <w:bookmarkEnd w:id="84"/>
      <w:bookmarkStart w:id="85" w:name="_Toc184310287"/>
      <w:bookmarkEnd w:id="85"/>
      <w:bookmarkStart w:id="86" w:name="_Toc184314429"/>
      <w:bookmarkEnd w:id="86"/>
      <w:bookmarkStart w:id="87" w:name="_Toc184314482"/>
      <w:bookmarkEnd w:id="87"/>
      <w:bookmarkStart w:id="88" w:name="_Toc184310315"/>
      <w:bookmarkEnd w:id="88"/>
      <w:bookmarkStart w:id="89" w:name="_Toc184310324"/>
      <w:bookmarkEnd w:id="89"/>
      <w:bookmarkStart w:id="90" w:name="_Toc184310278"/>
      <w:bookmarkEnd w:id="90"/>
      <w:bookmarkStart w:id="91" w:name="_Toc184310328"/>
      <w:bookmarkEnd w:id="91"/>
      <w:bookmarkStart w:id="92" w:name="_Toc184313242"/>
      <w:bookmarkEnd w:id="92"/>
      <w:bookmarkStart w:id="93" w:name="_Toc184312108"/>
      <w:bookmarkEnd w:id="93"/>
      <w:bookmarkStart w:id="94" w:name="_Toc184310336"/>
      <w:bookmarkEnd w:id="94"/>
      <w:bookmarkStart w:id="95" w:name="_Toc184308099"/>
      <w:bookmarkEnd w:id="95"/>
      <w:bookmarkStart w:id="96" w:name="_Toc184314475"/>
      <w:bookmarkEnd w:id="96"/>
      <w:bookmarkStart w:id="97" w:name="_Toc184314460"/>
      <w:bookmarkEnd w:id="97"/>
      <w:bookmarkStart w:id="98" w:name="_Toc184310303"/>
      <w:bookmarkEnd w:id="98"/>
      <w:bookmarkStart w:id="99" w:name="_Toc184312134"/>
      <w:bookmarkEnd w:id="99"/>
      <w:bookmarkStart w:id="100" w:name="_Toc184308044"/>
      <w:bookmarkEnd w:id="100"/>
      <w:bookmarkStart w:id="101" w:name="_Toc184312124"/>
      <w:bookmarkEnd w:id="101"/>
      <w:bookmarkStart w:id="102" w:name="_Toc184308062"/>
      <w:bookmarkEnd w:id="102"/>
      <w:bookmarkStart w:id="103" w:name="_Toc184308083"/>
      <w:bookmarkEnd w:id="103"/>
      <w:bookmarkStart w:id="104" w:name="_Toc184314449"/>
      <w:bookmarkEnd w:id="104"/>
      <w:bookmarkStart w:id="105" w:name="_Toc184314453"/>
      <w:bookmarkEnd w:id="105"/>
      <w:bookmarkStart w:id="106" w:name="_Toc184312079"/>
      <w:bookmarkEnd w:id="106"/>
      <w:bookmarkStart w:id="107" w:name="_Toc184308097"/>
      <w:bookmarkEnd w:id="107"/>
      <w:bookmarkStart w:id="108" w:name="_Toc184312135"/>
      <w:bookmarkEnd w:id="108"/>
      <w:bookmarkStart w:id="109" w:name="_Toc184314463"/>
      <w:bookmarkEnd w:id="109"/>
      <w:bookmarkStart w:id="110" w:name="_Toc184310314"/>
      <w:bookmarkEnd w:id="110"/>
      <w:bookmarkStart w:id="111" w:name="_Toc184310304"/>
      <w:bookmarkEnd w:id="111"/>
      <w:bookmarkStart w:id="112" w:name="_Toc184313304"/>
      <w:bookmarkEnd w:id="112"/>
      <w:bookmarkStart w:id="113" w:name="_Toc184313255"/>
      <w:bookmarkEnd w:id="113"/>
      <w:bookmarkStart w:id="114" w:name="_Toc184312078"/>
      <w:bookmarkEnd w:id="114"/>
      <w:bookmarkStart w:id="115" w:name="_Toc184312075"/>
      <w:bookmarkEnd w:id="115"/>
      <w:bookmarkStart w:id="116" w:name="_Toc184310316"/>
      <w:bookmarkEnd w:id="116"/>
      <w:bookmarkStart w:id="117" w:name="_Toc184310289"/>
      <w:bookmarkEnd w:id="117"/>
      <w:bookmarkStart w:id="118" w:name="_Toc184314412"/>
      <w:bookmarkEnd w:id="118"/>
      <w:bookmarkStart w:id="119" w:name="_Toc184312086"/>
      <w:bookmarkEnd w:id="119"/>
      <w:bookmarkStart w:id="120" w:name="_Toc184314446"/>
      <w:bookmarkEnd w:id="120"/>
      <w:bookmarkStart w:id="121" w:name="_Toc184313300"/>
      <w:bookmarkEnd w:id="121"/>
      <w:bookmarkStart w:id="122" w:name="_Toc184314469"/>
      <w:bookmarkEnd w:id="122"/>
      <w:bookmarkStart w:id="123" w:name="_Toc184313297"/>
      <w:bookmarkEnd w:id="123"/>
      <w:bookmarkStart w:id="124" w:name="_Toc184310286"/>
      <w:bookmarkEnd w:id="124"/>
      <w:bookmarkStart w:id="125" w:name="_Toc184308085"/>
      <w:bookmarkEnd w:id="125"/>
      <w:bookmarkStart w:id="126" w:name="_Toc184313308"/>
      <w:bookmarkEnd w:id="126"/>
      <w:bookmarkStart w:id="127" w:name="_Toc184312098"/>
      <w:bookmarkEnd w:id="127"/>
      <w:bookmarkStart w:id="128" w:name="_Toc184314423"/>
      <w:bookmarkEnd w:id="128"/>
      <w:bookmarkStart w:id="129" w:name="_Toc184313296"/>
      <w:bookmarkEnd w:id="129"/>
      <w:bookmarkStart w:id="130" w:name="_Toc184313248"/>
      <w:bookmarkEnd w:id="130"/>
      <w:bookmarkStart w:id="131" w:name="_Toc184314476"/>
      <w:bookmarkEnd w:id="131"/>
      <w:bookmarkStart w:id="132" w:name="_Toc184314457"/>
      <w:bookmarkEnd w:id="132"/>
      <w:bookmarkStart w:id="133" w:name="_Toc184312118"/>
      <w:bookmarkEnd w:id="133"/>
      <w:bookmarkStart w:id="134" w:name="_Toc184308098"/>
      <w:bookmarkEnd w:id="134"/>
      <w:bookmarkStart w:id="135" w:name="_Toc184308086"/>
      <w:bookmarkEnd w:id="135"/>
      <w:bookmarkStart w:id="136" w:name="_Toc184314472"/>
      <w:bookmarkEnd w:id="136"/>
      <w:bookmarkStart w:id="137" w:name="_Toc184314440"/>
      <w:bookmarkEnd w:id="137"/>
      <w:bookmarkStart w:id="138" w:name="_Toc184312095"/>
      <w:bookmarkEnd w:id="138"/>
      <w:bookmarkStart w:id="139" w:name="_Toc184308096"/>
      <w:bookmarkEnd w:id="139"/>
      <w:bookmarkStart w:id="140" w:name="_Toc184313282"/>
      <w:bookmarkEnd w:id="140"/>
      <w:bookmarkStart w:id="141" w:name="_Toc184310276"/>
      <w:bookmarkEnd w:id="141"/>
      <w:bookmarkStart w:id="142" w:name="_Toc184312089"/>
      <w:bookmarkEnd w:id="142"/>
      <w:bookmarkStart w:id="143" w:name="_Toc184314424"/>
      <w:bookmarkEnd w:id="143"/>
      <w:bookmarkStart w:id="144" w:name="_Toc184314436"/>
      <w:bookmarkEnd w:id="144"/>
      <w:bookmarkStart w:id="145" w:name="_Toc184313276"/>
      <w:bookmarkEnd w:id="145"/>
      <w:bookmarkStart w:id="146" w:name="_Toc184313280"/>
      <w:bookmarkEnd w:id="146"/>
      <w:bookmarkStart w:id="147" w:name="_Toc184308054"/>
      <w:bookmarkEnd w:id="147"/>
      <w:bookmarkStart w:id="148" w:name="_Toc184314434"/>
      <w:bookmarkEnd w:id="148"/>
      <w:bookmarkStart w:id="149" w:name="_Toc184310341"/>
      <w:bookmarkEnd w:id="149"/>
      <w:bookmarkStart w:id="150" w:name="_Toc184314415"/>
      <w:bookmarkEnd w:id="150"/>
      <w:bookmarkStart w:id="151" w:name="_Toc184310308"/>
      <w:bookmarkEnd w:id="151"/>
      <w:bookmarkStart w:id="152" w:name="_Toc184314445"/>
      <w:bookmarkEnd w:id="152"/>
      <w:bookmarkStart w:id="153" w:name="_Toc184314418"/>
      <w:bookmarkEnd w:id="153"/>
      <w:bookmarkStart w:id="154" w:name="_Toc184313295"/>
      <w:bookmarkEnd w:id="154"/>
      <w:bookmarkStart w:id="155" w:name="_Toc184312107"/>
      <w:bookmarkEnd w:id="155"/>
      <w:bookmarkStart w:id="156" w:name="_Toc184310293"/>
      <w:bookmarkEnd w:id="156"/>
      <w:bookmarkStart w:id="157" w:name="_Toc184308065"/>
      <w:bookmarkEnd w:id="157"/>
      <w:bookmarkStart w:id="158" w:name="_Toc184314480"/>
      <w:bookmarkEnd w:id="158"/>
      <w:bookmarkStart w:id="159" w:name="_Toc184308051"/>
      <w:bookmarkEnd w:id="159"/>
      <w:bookmarkStart w:id="160" w:name="_Toc184312081"/>
      <w:bookmarkEnd w:id="160"/>
      <w:bookmarkStart w:id="161" w:name="_Toc184313298"/>
      <w:bookmarkEnd w:id="161"/>
      <w:bookmarkStart w:id="162" w:name="_Toc184310338"/>
      <w:bookmarkEnd w:id="162"/>
      <w:bookmarkStart w:id="163" w:name="_Toc184314410"/>
      <w:bookmarkEnd w:id="163"/>
      <w:bookmarkStart w:id="164" w:name="_Toc184310299"/>
      <w:bookmarkEnd w:id="164"/>
      <w:bookmarkStart w:id="165" w:name="_Toc184310273"/>
      <w:bookmarkEnd w:id="165"/>
      <w:bookmarkStart w:id="166" w:name="_Toc184313243"/>
      <w:bookmarkEnd w:id="166"/>
      <w:bookmarkStart w:id="167" w:name="_Toc184308064"/>
      <w:bookmarkEnd w:id="167"/>
      <w:bookmarkStart w:id="168" w:name="_Toc184314464"/>
      <w:bookmarkEnd w:id="168"/>
      <w:bookmarkStart w:id="169" w:name="_Toc184314422"/>
      <w:bookmarkEnd w:id="169"/>
      <w:bookmarkStart w:id="170" w:name="_Toc184313266"/>
      <w:bookmarkEnd w:id="170"/>
      <w:bookmarkStart w:id="171" w:name="_Toc184312099"/>
      <w:bookmarkEnd w:id="171"/>
      <w:bookmarkStart w:id="172" w:name="_Toc184312082"/>
      <w:bookmarkEnd w:id="172"/>
      <w:bookmarkStart w:id="173" w:name="_Toc184314458"/>
      <w:bookmarkEnd w:id="173"/>
      <w:bookmarkStart w:id="174" w:name="_Toc184314465"/>
      <w:bookmarkEnd w:id="174"/>
      <w:bookmarkStart w:id="175" w:name="_Toc184313278"/>
      <w:bookmarkEnd w:id="175"/>
      <w:bookmarkStart w:id="176" w:name="_Toc184308046"/>
      <w:bookmarkEnd w:id="176"/>
      <w:bookmarkStart w:id="177" w:name="_Toc184310280"/>
      <w:bookmarkEnd w:id="177"/>
      <w:bookmarkStart w:id="178" w:name="_Toc184310284"/>
      <w:bookmarkEnd w:id="178"/>
      <w:bookmarkStart w:id="179" w:name="_Toc184312103"/>
      <w:bookmarkEnd w:id="179"/>
      <w:bookmarkStart w:id="180" w:name="_Toc184310337"/>
      <w:bookmarkEnd w:id="180"/>
      <w:bookmarkStart w:id="181" w:name="_Toc184310297"/>
      <w:bookmarkEnd w:id="181"/>
      <w:bookmarkStart w:id="182" w:name="_Toc184308103"/>
      <w:bookmarkEnd w:id="182"/>
      <w:bookmarkStart w:id="183" w:name="_Toc184310313"/>
      <w:bookmarkEnd w:id="183"/>
      <w:bookmarkStart w:id="184" w:name="_Toc184310331"/>
      <w:bookmarkEnd w:id="184"/>
      <w:bookmarkStart w:id="185" w:name="_Toc184314466"/>
      <w:bookmarkEnd w:id="185"/>
      <w:bookmarkStart w:id="186" w:name="_Toc184308092"/>
      <w:bookmarkEnd w:id="186"/>
      <w:bookmarkStart w:id="187" w:name="_Toc184314416"/>
      <w:bookmarkEnd w:id="187"/>
      <w:bookmarkStart w:id="188" w:name="_Toc184312139"/>
      <w:bookmarkEnd w:id="188"/>
      <w:bookmarkStart w:id="189" w:name="_Toc184314433"/>
      <w:bookmarkEnd w:id="189"/>
      <w:bookmarkStart w:id="190" w:name="_Toc184313302"/>
      <w:bookmarkEnd w:id="190"/>
      <w:bookmarkStart w:id="191" w:name="_Toc184313254"/>
      <w:bookmarkEnd w:id="191"/>
      <w:bookmarkStart w:id="192" w:name="_Toc184308075"/>
      <w:bookmarkEnd w:id="192"/>
      <w:bookmarkStart w:id="193" w:name="_Toc184308057"/>
      <w:bookmarkEnd w:id="193"/>
      <w:bookmarkStart w:id="194" w:name="_Toc184313309"/>
      <w:bookmarkEnd w:id="194"/>
      <w:bookmarkStart w:id="195" w:name="_Toc184312069"/>
      <w:bookmarkEnd w:id="195"/>
      <w:bookmarkStart w:id="196" w:name="_Toc184310333"/>
      <w:bookmarkEnd w:id="196"/>
      <w:bookmarkStart w:id="197" w:name="_Toc184314430"/>
      <w:bookmarkEnd w:id="197"/>
      <w:bookmarkStart w:id="198" w:name="_Toc184313250"/>
      <w:bookmarkEnd w:id="198"/>
      <w:bookmarkStart w:id="199" w:name="_Toc184312137"/>
      <w:bookmarkEnd w:id="199"/>
      <w:bookmarkStart w:id="200" w:name="_Toc184313271"/>
      <w:bookmarkEnd w:id="200"/>
      <w:bookmarkStart w:id="201" w:name="_Toc184314467"/>
      <w:bookmarkEnd w:id="201"/>
      <w:bookmarkStart w:id="202" w:name="_Toc184310311"/>
      <w:bookmarkEnd w:id="202"/>
      <w:bookmarkStart w:id="203" w:name="_Toc184313239"/>
      <w:bookmarkEnd w:id="203"/>
      <w:bookmarkStart w:id="204" w:name="_Toc184310296"/>
      <w:bookmarkEnd w:id="204"/>
      <w:bookmarkStart w:id="205" w:name="_Toc184313267"/>
      <w:bookmarkEnd w:id="205"/>
      <w:bookmarkStart w:id="206" w:name="_Toc184314478"/>
      <w:bookmarkEnd w:id="206"/>
      <w:bookmarkStart w:id="207" w:name="_Toc184313270"/>
      <w:bookmarkEnd w:id="207"/>
      <w:bookmarkStart w:id="208" w:name="_Toc184312102"/>
      <w:bookmarkEnd w:id="208"/>
      <w:bookmarkStart w:id="209" w:name="_Toc184308053"/>
      <w:bookmarkEnd w:id="209"/>
      <w:bookmarkStart w:id="210" w:name="_Toc184314459"/>
      <w:bookmarkEnd w:id="210"/>
      <w:bookmarkStart w:id="211" w:name="_Toc184313286"/>
      <w:bookmarkEnd w:id="211"/>
      <w:bookmarkStart w:id="212" w:name="_Toc184312096"/>
      <w:bookmarkEnd w:id="212"/>
      <w:bookmarkStart w:id="213" w:name="_Toc184312133"/>
      <w:bookmarkEnd w:id="213"/>
      <w:bookmarkStart w:id="214" w:name="_Toc184313262"/>
      <w:bookmarkEnd w:id="214"/>
      <w:bookmarkStart w:id="215" w:name="_Toc184312128"/>
      <w:bookmarkEnd w:id="215"/>
      <w:bookmarkStart w:id="216" w:name="_Toc184310344"/>
      <w:bookmarkEnd w:id="216"/>
      <w:bookmarkStart w:id="217" w:name="_Toc184310272"/>
      <w:bookmarkEnd w:id="217"/>
      <w:bookmarkStart w:id="218" w:name="_Toc184313274"/>
      <w:bookmarkEnd w:id="218"/>
      <w:bookmarkStart w:id="219" w:name="_Toc184313244"/>
      <w:bookmarkEnd w:id="219"/>
      <w:bookmarkStart w:id="220" w:name="_Toc184308102"/>
      <w:bookmarkEnd w:id="220"/>
      <w:bookmarkStart w:id="221" w:name="_Toc184313272"/>
      <w:bookmarkEnd w:id="221"/>
      <w:bookmarkStart w:id="222" w:name="_Toc184308100"/>
      <w:bookmarkEnd w:id="222"/>
      <w:bookmarkStart w:id="223" w:name="_Toc184310321"/>
      <w:bookmarkEnd w:id="223"/>
      <w:bookmarkStart w:id="224" w:name="_Toc184310279"/>
      <w:bookmarkEnd w:id="224"/>
      <w:bookmarkStart w:id="225" w:name="_Toc184308101"/>
      <w:bookmarkEnd w:id="225"/>
      <w:bookmarkStart w:id="226" w:name="_Toc184310323"/>
      <w:bookmarkEnd w:id="226"/>
      <w:bookmarkStart w:id="227" w:name="_Toc184312119"/>
      <w:bookmarkEnd w:id="227"/>
      <w:bookmarkStart w:id="228" w:name="_Toc184310294"/>
      <w:bookmarkEnd w:id="228"/>
      <w:bookmarkStart w:id="229" w:name="_Toc184312085"/>
      <w:bookmarkEnd w:id="229"/>
      <w:bookmarkStart w:id="230" w:name="_Toc184310334"/>
      <w:bookmarkEnd w:id="230"/>
      <w:bookmarkStart w:id="231" w:name="_Toc184314451"/>
      <w:bookmarkEnd w:id="231"/>
      <w:bookmarkStart w:id="232" w:name="_Toc184308037"/>
      <w:bookmarkEnd w:id="232"/>
      <w:bookmarkStart w:id="233" w:name="_Toc184310302"/>
      <w:bookmarkEnd w:id="233"/>
      <w:bookmarkStart w:id="234" w:name="_Toc184308073"/>
      <w:bookmarkEnd w:id="234"/>
      <w:bookmarkStart w:id="235" w:name="_Toc184310332"/>
      <w:bookmarkEnd w:id="235"/>
      <w:bookmarkStart w:id="236" w:name="_Toc184312109"/>
      <w:bookmarkEnd w:id="236"/>
      <w:bookmarkStart w:id="237" w:name="_Toc184308038"/>
      <w:bookmarkEnd w:id="237"/>
      <w:bookmarkStart w:id="238" w:name="_Toc184313310"/>
      <w:bookmarkEnd w:id="238"/>
      <w:bookmarkStart w:id="239" w:name="_Toc184312088"/>
      <w:bookmarkEnd w:id="239"/>
      <w:bookmarkStart w:id="240" w:name="_Toc184313303"/>
      <w:bookmarkEnd w:id="240"/>
      <w:bookmarkStart w:id="241" w:name="_Toc184308061"/>
      <w:bookmarkEnd w:id="241"/>
      <w:bookmarkStart w:id="242" w:name="_Toc184308063"/>
      <w:bookmarkEnd w:id="242"/>
      <w:bookmarkStart w:id="243" w:name="_Toc184312112"/>
      <w:bookmarkEnd w:id="243"/>
      <w:bookmarkStart w:id="244" w:name="_Toc184314442"/>
      <w:bookmarkEnd w:id="244"/>
      <w:bookmarkStart w:id="245" w:name="_Toc184313240"/>
      <w:bookmarkEnd w:id="245"/>
      <w:bookmarkStart w:id="246" w:name="_Toc184308041"/>
      <w:bookmarkEnd w:id="246"/>
      <w:bookmarkStart w:id="247" w:name="_Toc184313287"/>
      <w:bookmarkEnd w:id="247"/>
      <w:bookmarkStart w:id="248" w:name="_Toc184313299"/>
      <w:bookmarkEnd w:id="248"/>
      <w:bookmarkStart w:id="249" w:name="_Toc184310309"/>
      <w:bookmarkEnd w:id="249"/>
      <w:bookmarkStart w:id="250" w:name="_Toc184313292"/>
      <w:bookmarkEnd w:id="250"/>
      <w:bookmarkStart w:id="251" w:name="_Toc184310305"/>
      <w:bookmarkEnd w:id="251"/>
      <w:bookmarkStart w:id="252" w:name="_Toc184310326"/>
      <w:bookmarkEnd w:id="252"/>
      <w:bookmarkStart w:id="253" w:name="_Toc184308050"/>
      <w:bookmarkEnd w:id="253"/>
      <w:bookmarkStart w:id="254" w:name="_Toc184308071"/>
      <w:bookmarkEnd w:id="254"/>
      <w:bookmarkStart w:id="255" w:name="_Toc184314411"/>
      <w:bookmarkEnd w:id="255"/>
      <w:bookmarkStart w:id="256" w:name="_Toc184314444"/>
      <w:bookmarkEnd w:id="256"/>
      <w:bookmarkStart w:id="257" w:name="_Toc184310291"/>
      <w:bookmarkEnd w:id="257"/>
      <w:bookmarkStart w:id="258" w:name="_Toc184310283"/>
      <w:bookmarkEnd w:id="258"/>
      <w:bookmarkStart w:id="259" w:name="_Toc184314414"/>
      <w:bookmarkEnd w:id="259"/>
      <w:bookmarkStart w:id="260" w:name="_Toc184310329"/>
      <w:bookmarkEnd w:id="260"/>
      <w:bookmarkStart w:id="261" w:name="_Toc184312114"/>
      <w:bookmarkEnd w:id="261"/>
      <w:bookmarkStart w:id="262" w:name="_Toc184314473"/>
      <w:bookmarkEnd w:id="262"/>
      <w:bookmarkStart w:id="263" w:name="_Toc184312071"/>
      <w:bookmarkEnd w:id="263"/>
      <w:bookmarkStart w:id="264" w:name="_Toc184308084"/>
      <w:bookmarkEnd w:id="264"/>
      <w:bookmarkStart w:id="265" w:name="_Toc184313249"/>
      <w:bookmarkEnd w:id="265"/>
      <w:bookmarkStart w:id="266" w:name="_Toc184308049"/>
      <w:bookmarkEnd w:id="266"/>
      <w:bookmarkStart w:id="267" w:name="_Toc184312132"/>
      <w:bookmarkEnd w:id="267"/>
      <w:bookmarkStart w:id="268" w:name="_Toc184308060"/>
      <w:bookmarkEnd w:id="268"/>
      <w:bookmarkStart w:id="269" w:name="_Toc184312123"/>
      <w:bookmarkEnd w:id="269"/>
      <w:bookmarkStart w:id="270" w:name="_Toc184314454"/>
      <w:bookmarkEnd w:id="270"/>
      <w:bookmarkStart w:id="271" w:name="_Toc184310340"/>
      <w:bookmarkEnd w:id="271"/>
      <w:bookmarkStart w:id="272" w:name="_Toc184314481"/>
      <w:bookmarkEnd w:id="272"/>
      <w:bookmarkStart w:id="273" w:name="_Toc184308059"/>
      <w:bookmarkEnd w:id="273"/>
      <w:bookmarkStart w:id="274" w:name="_Toc184313305"/>
      <w:bookmarkEnd w:id="274"/>
      <w:bookmarkStart w:id="275" w:name="_Toc184312094"/>
      <w:bookmarkEnd w:id="275"/>
      <w:bookmarkStart w:id="276" w:name="_Toc184310319"/>
      <w:bookmarkEnd w:id="276"/>
      <w:bookmarkStart w:id="277" w:name="_Toc184308068"/>
      <w:bookmarkEnd w:id="277"/>
      <w:bookmarkStart w:id="278" w:name="_Toc184313265"/>
      <w:bookmarkEnd w:id="278"/>
      <w:bookmarkStart w:id="279" w:name="_Toc184308048"/>
      <w:bookmarkEnd w:id="279"/>
      <w:bookmarkStart w:id="280" w:name="_Toc184308082"/>
      <w:bookmarkEnd w:id="280"/>
      <w:bookmarkStart w:id="281" w:name="_Toc184310327"/>
      <w:bookmarkEnd w:id="281"/>
      <w:bookmarkStart w:id="282" w:name="_Toc184313273"/>
      <w:bookmarkEnd w:id="282"/>
      <w:bookmarkStart w:id="283" w:name="_Toc184308070"/>
      <w:bookmarkEnd w:id="283"/>
      <w:bookmarkStart w:id="284" w:name="_Toc184308055"/>
      <w:bookmarkEnd w:id="284"/>
      <w:bookmarkStart w:id="285" w:name="_Toc184312116"/>
      <w:bookmarkEnd w:id="285"/>
      <w:bookmarkStart w:id="286" w:name="_Toc184314413"/>
      <w:bookmarkEnd w:id="286"/>
      <w:bookmarkStart w:id="287" w:name="_Toc184308052"/>
      <w:bookmarkEnd w:id="287"/>
      <w:bookmarkStart w:id="288" w:name="_Toc184308088"/>
      <w:bookmarkEnd w:id="288"/>
      <w:bookmarkStart w:id="289" w:name="_Toc184310335"/>
      <w:bookmarkEnd w:id="289"/>
      <w:bookmarkStart w:id="290" w:name="_Toc184313263"/>
      <w:bookmarkEnd w:id="290"/>
      <w:bookmarkStart w:id="291" w:name="_Toc184313294"/>
      <w:bookmarkEnd w:id="291"/>
      <w:bookmarkStart w:id="292" w:name="_Toc184314455"/>
      <w:bookmarkEnd w:id="292"/>
      <w:bookmarkStart w:id="293" w:name="_Toc184312074"/>
      <w:bookmarkEnd w:id="293"/>
      <w:bookmarkStart w:id="294" w:name="_Toc184313279"/>
      <w:bookmarkEnd w:id="294"/>
      <w:bookmarkStart w:id="295" w:name="_Toc184308074"/>
      <w:bookmarkEnd w:id="295"/>
      <w:bookmarkStart w:id="296" w:name="_Toc184308091"/>
      <w:bookmarkEnd w:id="296"/>
      <w:bookmarkStart w:id="297" w:name="_Toc184312091"/>
      <w:bookmarkEnd w:id="297"/>
      <w:bookmarkStart w:id="298" w:name="_Toc184312097"/>
      <w:bookmarkEnd w:id="298"/>
      <w:bookmarkStart w:id="299" w:name="_Toc184314474"/>
      <w:bookmarkEnd w:id="299"/>
      <w:bookmarkStart w:id="300" w:name="_Toc184313268"/>
      <w:bookmarkEnd w:id="300"/>
      <w:bookmarkStart w:id="301" w:name="_Toc184308095"/>
      <w:bookmarkEnd w:id="301"/>
      <w:bookmarkStart w:id="302" w:name="_Toc184308108"/>
      <w:bookmarkEnd w:id="302"/>
      <w:bookmarkStart w:id="303" w:name="_Toc184312111"/>
      <w:bookmarkEnd w:id="303"/>
      <w:bookmarkStart w:id="304" w:name="_Toc184314447"/>
      <w:bookmarkEnd w:id="304"/>
      <w:bookmarkStart w:id="305" w:name="_Toc184308104"/>
      <w:bookmarkEnd w:id="305"/>
      <w:bookmarkStart w:id="306" w:name="_Toc184313289"/>
      <w:bookmarkEnd w:id="306"/>
      <w:bookmarkStart w:id="307" w:name="_Toc184310312"/>
      <w:bookmarkEnd w:id="307"/>
      <w:bookmarkStart w:id="308" w:name="_Toc184313285"/>
      <w:bookmarkEnd w:id="308"/>
      <w:bookmarkStart w:id="309" w:name="_Toc184314443"/>
      <w:bookmarkEnd w:id="309"/>
      <w:bookmarkStart w:id="310" w:name="_Toc184314448"/>
      <w:bookmarkEnd w:id="310"/>
      <w:bookmarkStart w:id="311" w:name="_Toc184312087"/>
      <w:bookmarkEnd w:id="311"/>
      <w:bookmarkStart w:id="312" w:name="_Toc184314419"/>
      <w:bookmarkEnd w:id="312"/>
      <w:bookmarkStart w:id="313" w:name="_Toc184308093"/>
      <w:bookmarkEnd w:id="313"/>
      <w:bookmarkStart w:id="314" w:name="_Toc184310306"/>
      <w:bookmarkEnd w:id="314"/>
      <w:bookmarkStart w:id="315" w:name="_Toc184310275"/>
      <w:bookmarkEnd w:id="315"/>
      <w:bookmarkStart w:id="316" w:name="_Toc184313258"/>
      <w:bookmarkEnd w:id="316"/>
      <w:bookmarkStart w:id="317" w:name="_Toc184312092"/>
      <w:bookmarkEnd w:id="317"/>
      <w:bookmarkStart w:id="318" w:name="_Toc184313293"/>
      <w:bookmarkEnd w:id="318"/>
      <w:bookmarkStart w:id="319" w:name="_Toc184312100"/>
      <w:bookmarkEnd w:id="319"/>
      <w:bookmarkStart w:id="320" w:name="_Toc184314425"/>
      <w:bookmarkEnd w:id="320"/>
      <w:bookmarkStart w:id="321" w:name="_Toc184308079"/>
      <w:bookmarkEnd w:id="321"/>
      <w:bookmarkStart w:id="322" w:name="_Toc184310282"/>
      <w:bookmarkEnd w:id="322"/>
      <w:bookmarkStart w:id="323" w:name="_Toc184313245"/>
      <w:bookmarkEnd w:id="323"/>
      <w:bookmarkStart w:id="324" w:name="_Toc184312077"/>
      <w:bookmarkEnd w:id="324"/>
      <w:bookmarkStart w:id="325" w:name="_Toc184314426"/>
      <w:bookmarkEnd w:id="325"/>
      <w:bookmarkStart w:id="326" w:name="_Toc184310300"/>
      <w:bookmarkEnd w:id="326"/>
      <w:bookmarkStart w:id="327" w:name="_Toc184310322"/>
      <w:bookmarkEnd w:id="327"/>
      <w:bookmarkStart w:id="328" w:name="_Toc184308094"/>
      <w:bookmarkEnd w:id="328"/>
      <w:bookmarkStart w:id="329" w:name="_Toc184314431"/>
      <w:bookmarkEnd w:id="329"/>
      <w:bookmarkStart w:id="330" w:name="_Toc184310310"/>
      <w:bookmarkEnd w:id="330"/>
      <w:bookmarkStart w:id="331" w:name="_Toc184312127"/>
      <w:bookmarkEnd w:id="331"/>
      <w:bookmarkStart w:id="332" w:name="_Toc184313301"/>
      <w:bookmarkEnd w:id="332"/>
      <w:bookmarkStart w:id="333" w:name="_Toc184310288"/>
      <w:bookmarkEnd w:id="333"/>
      <w:bookmarkStart w:id="334" w:name="_Toc184310317"/>
      <w:bookmarkEnd w:id="334"/>
      <w:bookmarkStart w:id="335" w:name="_Toc184314471"/>
      <w:bookmarkEnd w:id="335"/>
      <w:bookmarkStart w:id="336" w:name="_Toc184313260"/>
      <w:bookmarkEnd w:id="336"/>
      <w:bookmarkStart w:id="337" w:name="_Toc184310320"/>
      <w:bookmarkEnd w:id="337"/>
      <w:bookmarkStart w:id="338" w:name="_Toc184312076"/>
      <w:bookmarkEnd w:id="338"/>
      <w:bookmarkStart w:id="339" w:name="_Toc184313277"/>
      <w:bookmarkEnd w:id="339"/>
      <w:bookmarkStart w:id="340" w:name="_Toc184314435"/>
      <w:bookmarkEnd w:id="340"/>
      <w:bookmarkStart w:id="341" w:name="_Toc184314421"/>
      <w:bookmarkEnd w:id="341"/>
      <w:bookmarkStart w:id="342" w:name="_Toc184308069"/>
      <w:bookmarkEnd w:id="342"/>
      <w:bookmarkStart w:id="343" w:name="_Toc184308039"/>
      <w:bookmarkEnd w:id="343"/>
      <w:bookmarkStart w:id="344" w:name="_Toc184312083"/>
      <w:bookmarkEnd w:id="344"/>
      <w:bookmarkStart w:id="345" w:name="_Toc184313291"/>
      <w:bookmarkEnd w:id="345"/>
      <w:bookmarkStart w:id="346" w:name="_Toc184310318"/>
      <w:bookmarkEnd w:id="346"/>
      <w:bookmarkStart w:id="347" w:name="_Toc184308047"/>
      <w:bookmarkEnd w:id="347"/>
      <w:bookmarkStart w:id="348" w:name="_Toc184308107"/>
      <w:bookmarkEnd w:id="348"/>
      <w:bookmarkStart w:id="349" w:name="_Toc184314427"/>
      <w:bookmarkEnd w:id="349"/>
      <w:bookmarkStart w:id="350" w:name="_Toc184313283"/>
      <w:bookmarkEnd w:id="350"/>
      <w:bookmarkStart w:id="351" w:name="_Toc184310277"/>
      <w:bookmarkEnd w:id="351"/>
      <w:bookmarkStart w:id="352" w:name="_Toc184312101"/>
      <w:bookmarkEnd w:id="352"/>
      <w:bookmarkStart w:id="353" w:name="_Toc184314420"/>
      <w:bookmarkEnd w:id="353"/>
      <w:bookmarkStart w:id="354" w:name="_Toc184310274"/>
      <w:bookmarkEnd w:id="354"/>
      <w:bookmarkStart w:id="355" w:name="_Toc184308081"/>
      <w:bookmarkEnd w:id="355"/>
      <w:bookmarkStart w:id="356" w:name="_Toc184314479"/>
      <w:bookmarkEnd w:id="356"/>
      <w:bookmarkStart w:id="357" w:name="_Toc184310325"/>
      <w:bookmarkEnd w:id="357"/>
      <w:bookmarkStart w:id="358" w:name="_Toc184310281"/>
      <w:bookmarkEnd w:id="358"/>
      <w:bookmarkStart w:id="359" w:name="_Toc184308072"/>
      <w:bookmarkEnd w:id="359"/>
      <w:bookmarkStart w:id="360" w:name="_Toc184313275"/>
      <w:bookmarkEnd w:id="360"/>
      <w:bookmarkStart w:id="361" w:name="_Toc184312072"/>
      <w:bookmarkEnd w:id="361"/>
      <w:bookmarkStart w:id="362" w:name="_Toc184308056"/>
      <w:bookmarkEnd w:id="362"/>
      <w:bookmarkStart w:id="363" w:name="_Toc184314470"/>
      <w:bookmarkEnd w:id="363"/>
      <w:bookmarkStart w:id="364" w:name="_Toc184312117"/>
      <w:bookmarkEnd w:id="364"/>
      <w:bookmarkStart w:id="365" w:name="_Toc184308089"/>
      <w:bookmarkEnd w:id="365"/>
      <w:bookmarkStart w:id="366" w:name="_Toc184312130"/>
      <w:bookmarkEnd w:id="366"/>
      <w:bookmarkStart w:id="367" w:name="_Toc184310330"/>
      <w:bookmarkEnd w:id="367"/>
      <w:bookmarkStart w:id="368" w:name="_Toc184313307"/>
      <w:bookmarkEnd w:id="368"/>
      <w:bookmarkStart w:id="369" w:name="_Toc184308076"/>
      <w:bookmarkEnd w:id="369"/>
      <w:bookmarkStart w:id="370" w:name="_Toc184312067"/>
      <w:bookmarkEnd w:id="370"/>
      <w:bookmarkStart w:id="371" w:name="_Toc184308058"/>
      <w:bookmarkEnd w:id="371"/>
      <w:bookmarkStart w:id="372" w:name="_Toc184308077"/>
      <w:bookmarkEnd w:id="372"/>
      <w:bookmarkStart w:id="373" w:name="_Toc184313264"/>
      <w:bookmarkEnd w:id="373"/>
      <w:bookmarkStart w:id="374" w:name="_Toc184314432"/>
      <w:bookmarkEnd w:id="374"/>
      <w:bookmarkStart w:id="375" w:name="_Toc184308105"/>
      <w:bookmarkEnd w:id="375"/>
      <w:bookmarkStart w:id="376" w:name="_Toc184308106"/>
      <w:bookmarkEnd w:id="376"/>
      <w:bookmarkStart w:id="377" w:name="_Toc184312084"/>
      <w:bookmarkEnd w:id="377"/>
      <w:bookmarkStart w:id="378" w:name="_Toc184308090"/>
      <w:bookmarkEnd w:id="378"/>
      <w:bookmarkStart w:id="379" w:name="_Toc184312068"/>
      <w:bookmarkEnd w:id="379"/>
      <w:bookmarkStart w:id="380" w:name="_Toc184314439"/>
      <w:bookmarkEnd w:id="380"/>
      <w:bookmarkStart w:id="381" w:name="_Toc184308066"/>
      <w:bookmarkEnd w:id="381"/>
      <w:bookmarkStart w:id="382" w:name="_Toc184312131"/>
      <w:bookmarkEnd w:id="382"/>
      <w:bookmarkStart w:id="383" w:name="_Toc184312104"/>
      <w:bookmarkEnd w:id="383"/>
      <w:bookmarkStart w:id="384" w:name="_Toc184312122"/>
      <w:bookmarkEnd w:id="384"/>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D.响应文件中承诺的响应有效期少于询价采购文件中载明的投标有效期的；响应文件出现不是唯一的、有选择性响应报价的</w:t>
      </w:r>
      <w:r>
        <w:rPr>
          <w:rFonts w:hint="eastAsia" w:ascii="宋体" w:hAnsi="宋体" w:cs="宋体"/>
          <w:kern w:val="0"/>
          <w:sz w:val="24"/>
          <w:lang w:eastAsia="zh-CN"/>
        </w:rPr>
        <w:t>；</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r>
        <w:rPr>
          <w:rFonts w:hint="eastAsia" w:ascii="宋体" w:hAnsi="宋体" w:cs="宋体"/>
          <w:kern w:val="0"/>
          <w:sz w:val="24"/>
          <w:lang w:eastAsia="zh-CN"/>
        </w:rPr>
        <w:t>；</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J.响应文件不满足询价采购文件的其他实质性要求的；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K.法律法规、规章（适用本市的）及省级以上规范性文件（适用本市的）规定的其他无效情形。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ascii="宋体" w:hAnsi="宋体" w:cs="宋体"/>
          <w:kern w:val="0"/>
          <w:sz w:val="24"/>
        </w:rPr>
      </w:pPr>
      <w:r>
        <w:rPr>
          <w:rFonts w:hint="eastAsia" w:ascii="宋体" w:hAnsi="宋体" w:cs="宋体"/>
          <w:kern w:val="0"/>
          <w:sz w:val="24"/>
        </w:rPr>
        <w:t>M未按要求缴纳询价保证金的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7"/>
        <w:ind w:firstLine="480" w:firstLineChars="200"/>
      </w:pPr>
      <w:r>
        <w:rPr>
          <w:lang w:val="en-US"/>
        </w:rPr>
        <w:t>1.1</w:t>
      </w:r>
      <w:r>
        <w:rPr>
          <w:rFonts w:hint="eastAsia"/>
        </w:rPr>
        <w:t>若出现税率不一致的情况，以除税总金额相对比。</w:t>
      </w:r>
    </w:p>
    <w:p>
      <w:pPr>
        <w:pStyle w:val="7"/>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7"/>
        <w:rPr>
          <w:lang w:val="en-US"/>
        </w:rPr>
      </w:pPr>
    </w:p>
    <w:p>
      <w:pPr>
        <w:widowControl/>
        <w:snapToGrid w:val="0"/>
        <w:spacing w:line="460" w:lineRule="exact"/>
        <w:ind w:firstLine="480" w:firstLineChars="200"/>
        <w:rPr>
          <w:rFonts w:cs="仿宋" w:asciiTheme="minorEastAsia" w:hAnsiTheme="minorEastAsia"/>
          <w:kern w:val="0"/>
          <w:sz w:val="24"/>
        </w:rPr>
        <w:sectPr>
          <w:pgSz w:w="11906" w:h="16838"/>
          <w:pgMar w:top="1247" w:right="1418" w:bottom="1247" w:left="1588" w:header="851" w:footer="992" w:gutter="0"/>
          <w:pgBorders>
            <w:top w:val="none" w:sz="0" w:space="0"/>
            <w:left w:val="none" w:sz="0" w:space="0"/>
            <w:bottom w:val="none" w:sz="0" w:space="0"/>
            <w:right w:val="none" w:sz="0" w:space="0"/>
          </w:pgBorders>
          <w:cols w:space="720" w:num="1"/>
          <w:docGrid w:type="lines" w:linePitch="312" w:charSpace="0"/>
        </w:sectPr>
      </w:pPr>
    </w:p>
    <w:p>
      <w:pPr>
        <w:numPr>
          <w:ilvl w:val="0"/>
          <w:numId w:val="1"/>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LJGS-2024-          </w:t>
      </w:r>
    </w:p>
    <w:p>
      <w:pPr>
        <w:spacing w:line="480" w:lineRule="auto"/>
        <w:rPr>
          <w:rFonts w:ascii="宋体" w:hAnsi="宋体" w:cs="宋体"/>
          <w:b/>
          <w:sz w:val="24"/>
        </w:rPr>
      </w:pPr>
    </w:p>
    <w:p>
      <w:pPr>
        <w:pStyle w:val="4"/>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3"/>
        <w:rPr>
          <w:rFonts w:ascii="宋体" w:hAnsi="宋体" w:cs="宋体"/>
          <w:szCs w:val="24"/>
        </w:rPr>
      </w:pPr>
    </w:p>
    <w:p>
      <w:pPr>
        <w:spacing w:before="120" w:line="22" w:lineRule="atLeast"/>
        <w:ind w:left="960"/>
        <w:rPr>
          <w:rFonts w:ascii="宋体" w:hAnsi="宋体" w:eastAsia="宋体" w:cs="宋体"/>
        </w:rPr>
      </w:pPr>
      <w:r>
        <w:rPr>
          <w:rFonts w:hint="eastAsia" w:ascii="宋体" w:hAnsi="宋体" w:cs="宋体"/>
          <w:sz w:val="24"/>
        </w:rPr>
        <w:t>项目名称：</w:t>
      </w:r>
      <w:r>
        <w:rPr>
          <w:rFonts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lang w:eastAsia="zh-CN"/>
        </w:rPr>
        <w:t>2024年临江公司意大利百得燃烧器备件</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ascii="宋体" w:hAnsi="宋体" w:cs="宋体"/>
          <w:sz w:val="24"/>
          <w:u w:val="single"/>
        </w:rPr>
        <w:t xml:space="preserve"> </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杭州临江环境能源有限公司  </w:t>
      </w:r>
      <w:r>
        <w:rPr>
          <w:rFonts w:ascii="宋体" w:hAnsi="宋体" w:cs="宋体"/>
          <w:sz w:val="24"/>
          <w:u w:val="single"/>
        </w:rPr>
        <w:t xml:space="preserve"> </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日</w:t>
      </w:r>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23"/>
        <w:ind w:left="0" w:leftChars="0" w:firstLine="0" w:firstLineChars="0"/>
        <w:rPr>
          <w:rFonts w:hint="eastAsia" w:ascii="宋体" w:hAnsi="宋体" w:eastAsia="宋体" w:cs="宋体"/>
          <w:b/>
          <w:sz w:val="24"/>
          <w:szCs w:val="24"/>
        </w:rPr>
      </w:pPr>
    </w:p>
    <w:sdt>
      <w:sdtPr>
        <w:rPr>
          <w:rFonts w:hint="eastAsia" w:ascii="宋体" w:hAnsi="宋体" w:eastAsia="宋体" w:cs="宋体"/>
          <w:kern w:val="2"/>
          <w:sz w:val="24"/>
          <w:szCs w:val="24"/>
          <w:lang w:val="en-US" w:eastAsia="zh-CN" w:bidi="ar-SA"/>
        </w:rPr>
        <w:id w:val="147467511"/>
        <w15:color w:val="DBDBDB"/>
        <w:docPartObj>
          <w:docPartGallery w:val="Table of Contents"/>
          <w:docPartUnique/>
        </w:docPartObj>
      </w:sdtPr>
      <w:sdtEndPr>
        <w:rPr>
          <w:rFonts w:hint="eastAsia" w:ascii="宋体" w:hAnsi="宋体" w:eastAsia="宋体" w:cs="宋体"/>
          <w:kern w:val="2"/>
          <w:sz w:val="32"/>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目</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录</w:t>
          </w:r>
        </w:p>
        <w:p>
          <w:pPr>
            <w:pStyle w:val="13"/>
            <w:tabs>
              <w:tab w:val="right" w:leader="dot" w:pos="8306"/>
            </w:tabs>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"1-1" \h \u </w:instrText>
          </w:r>
          <w:r>
            <w:rPr>
              <w:rFonts w:hint="eastAsia" w:ascii="宋体" w:hAnsi="宋体" w:eastAsia="宋体" w:cs="宋体"/>
              <w:sz w:val="24"/>
              <w:szCs w:val="24"/>
            </w:rPr>
            <w:fldChar w:fldCharType="separate"/>
          </w:r>
          <w:r>
            <w:rPr>
              <w:rFonts w:hint="eastAsia" w:ascii="宋体" w:hAnsi="宋体" w:eastAsia="宋体" w:cs="宋体"/>
              <w:szCs w:val="24"/>
            </w:rPr>
            <w:fldChar w:fldCharType="begin"/>
          </w:r>
          <w:r>
            <w:rPr>
              <w:rFonts w:hint="eastAsia" w:ascii="宋体" w:hAnsi="宋体" w:eastAsia="宋体" w:cs="宋体"/>
              <w:szCs w:val="24"/>
            </w:rPr>
            <w:instrText xml:space="preserve"> HYPERLINK \l _Toc20141 </w:instrText>
          </w:r>
          <w:r>
            <w:rPr>
              <w:rFonts w:hint="eastAsia" w:ascii="宋体" w:hAnsi="宋体" w:eastAsia="宋体" w:cs="宋体"/>
              <w:szCs w:val="24"/>
            </w:rPr>
            <w:fldChar w:fldCharType="separate"/>
          </w:r>
          <w:r>
            <w:rPr>
              <w:rFonts w:hint="eastAsia" w:ascii="宋体" w:hAnsi="宋体" w:eastAsia="宋体" w:cs="宋体"/>
            </w:rPr>
            <w:t>第一章 合同书</w:t>
          </w:r>
          <w:r>
            <w:tab/>
          </w:r>
          <w:r>
            <w:fldChar w:fldCharType="begin"/>
          </w:r>
          <w:r>
            <w:instrText xml:space="preserve"> PAGEREF _Toc20141 \h </w:instrText>
          </w:r>
          <w:r>
            <w:fldChar w:fldCharType="separate"/>
          </w:r>
          <w:r>
            <w:t>3</w:t>
          </w:r>
          <w:r>
            <w:fldChar w:fldCharType="end"/>
          </w:r>
          <w:r>
            <w:rPr>
              <w:rFonts w:hint="eastAsia" w:ascii="宋体" w:hAnsi="宋体" w:eastAsia="宋体" w:cs="宋体"/>
              <w:szCs w:val="24"/>
            </w:rPr>
            <w:fldChar w:fldCharType="end"/>
          </w:r>
        </w:p>
        <w:p>
          <w:pPr>
            <w:pStyle w:val="13"/>
            <w:tabs>
              <w:tab w:val="right" w:leader="dot" w:pos="8306"/>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_Toc17221 </w:instrText>
          </w:r>
          <w:r>
            <w:rPr>
              <w:rFonts w:hint="eastAsia" w:ascii="宋体" w:hAnsi="宋体" w:eastAsia="宋体" w:cs="宋体"/>
              <w:szCs w:val="24"/>
            </w:rPr>
            <w:fldChar w:fldCharType="separate"/>
          </w:r>
          <w:r>
            <w:rPr>
              <w:rFonts w:hint="eastAsia" w:ascii="宋体" w:hAnsi="宋体" w:cs="宋体"/>
              <w:szCs w:val="24"/>
            </w:rPr>
            <w:t>第二章 合同一般条款</w:t>
          </w:r>
          <w:r>
            <w:tab/>
          </w:r>
          <w:r>
            <w:fldChar w:fldCharType="begin"/>
          </w:r>
          <w:r>
            <w:instrText xml:space="preserve"> PAGEREF _Toc17221 \h </w:instrText>
          </w:r>
          <w:r>
            <w:fldChar w:fldCharType="separate"/>
          </w:r>
          <w:r>
            <w:t>10</w:t>
          </w:r>
          <w:r>
            <w:fldChar w:fldCharType="end"/>
          </w:r>
          <w:r>
            <w:rPr>
              <w:rFonts w:hint="eastAsia" w:ascii="宋体" w:hAnsi="宋体" w:eastAsia="宋体" w:cs="宋体"/>
              <w:szCs w:val="24"/>
            </w:rPr>
            <w:fldChar w:fldCharType="end"/>
          </w:r>
        </w:p>
        <w:p>
          <w:pPr>
            <w:pStyle w:val="13"/>
            <w:tabs>
              <w:tab w:val="right" w:leader="dot" w:pos="8306"/>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_Toc27135 </w:instrText>
          </w:r>
          <w:r>
            <w:rPr>
              <w:rFonts w:hint="eastAsia" w:ascii="宋体" w:hAnsi="宋体" w:eastAsia="宋体" w:cs="宋体"/>
              <w:szCs w:val="24"/>
            </w:rPr>
            <w:fldChar w:fldCharType="separate"/>
          </w:r>
          <w:r>
            <w:rPr>
              <w:rFonts w:hint="eastAsia" w:ascii="宋体" w:hAnsi="宋体" w:cs="Times New Roman"/>
              <w:szCs w:val="24"/>
            </w:rPr>
            <w:t xml:space="preserve">第三章 </w:t>
          </w:r>
          <w:r>
            <w:rPr>
              <w:rFonts w:hint="eastAsia" w:ascii="宋体" w:hAnsi="宋体"/>
              <w:szCs w:val="24"/>
            </w:rPr>
            <w:t>廉洁协议</w:t>
          </w:r>
          <w:r>
            <w:tab/>
          </w:r>
          <w:r>
            <w:fldChar w:fldCharType="begin"/>
          </w:r>
          <w:r>
            <w:instrText xml:space="preserve"> PAGEREF _Toc27135 \h </w:instrText>
          </w:r>
          <w:r>
            <w:fldChar w:fldCharType="separate"/>
          </w:r>
          <w:r>
            <w:t>15</w:t>
          </w:r>
          <w:r>
            <w:fldChar w:fldCharType="end"/>
          </w:r>
          <w:r>
            <w:rPr>
              <w:rFonts w:hint="eastAsia" w:ascii="宋体" w:hAnsi="宋体" w:eastAsia="宋体" w:cs="宋体"/>
              <w:szCs w:val="24"/>
            </w:rPr>
            <w:fldChar w:fldCharType="end"/>
          </w:r>
        </w:p>
        <w:p>
          <w:pPr>
            <w:pStyle w:val="23"/>
            <w:rPr>
              <w:rFonts w:hint="eastAsia" w:ascii="宋体" w:hAnsi="宋体" w:eastAsia="宋体" w:cs="宋体"/>
              <w:sz w:val="32"/>
              <w:szCs w:val="32"/>
            </w:rPr>
          </w:pPr>
          <w:r>
            <w:rPr>
              <w:rFonts w:hint="eastAsia" w:ascii="宋体" w:hAnsi="宋体" w:eastAsia="宋体" w:cs="宋体"/>
              <w:szCs w:val="24"/>
            </w:rPr>
            <w:fldChar w:fldCharType="end"/>
          </w:r>
        </w:p>
      </w:sdtContent>
    </w:sdt>
    <w:p>
      <w:pPr>
        <w:pStyle w:val="9"/>
        <w:rPr>
          <w:rFonts w:hint="eastAsia" w:ascii="宋体" w:hAnsi="宋体" w:eastAsia="宋体" w:cs="宋体"/>
          <w:sz w:val="32"/>
          <w:szCs w:val="32"/>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3"/>
        <w:ind w:left="0" w:leftChars="0" w:firstLine="0" w:firstLineChars="0"/>
        <w:rPr>
          <w:rFonts w:ascii="宋体" w:hAnsi="宋体" w:cs="宋体"/>
          <w:szCs w:val="24"/>
        </w:rPr>
      </w:pPr>
    </w:p>
    <w:p>
      <w:pPr>
        <w:pStyle w:val="23"/>
        <w:ind w:left="0" w:leftChars="0" w:firstLine="0" w:firstLineChars="0"/>
        <w:jc w:val="center"/>
        <w:rPr>
          <w:rFonts w:ascii="宋体" w:hAnsi="宋体" w:cs="宋体"/>
          <w:b/>
          <w:szCs w:val="24"/>
        </w:rPr>
      </w:pPr>
    </w:p>
    <w:p>
      <w:pPr>
        <w:rPr>
          <w:rFonts w:hint="eastAsia" w:ascii="宋体" w:hAnsi="宋体" w:eastAsia="宋体" w:cs="宋体"/>
          <w:b/>
          <w:sz w:val="24"/>
        </w:rPr>
      </w:pPr>
      <w:r>
        <w:rPr>
          <w:rFonts w:hint="eastAsia" w:ascii="宋体" w:hAnsi="宋体" w:eastAsia="宋体" w:cs="宋体"/>
          <w:b/>
          <w:sz w:val="24"/>
        </w:rPr>
        <w:br w:type="page"/>
      </w:r>
    </w:p>
    <w:p>
      <w:pPr>
        <w:spacing w:line="360" w:lineRule="auto"/>
        <w:ind w:firstLine="482" w:firstLineChars="200"/>
        <w:jc w:val="center"/>
        <w:outlineLvl w:val="0"/>
        <w:rPr>
          <w:rFonts w:ascii="宋体" w:hAnsi="宋体" w:eastAsia="宋体" w:cs="宋体"/>
          <w:b/>
          <w:sz w:val="24"/>
        </w:rPr>
      </w:pPr>
      <w:bookmarkStart w:id="385" w:name="_Toc20141"/>
      <w:r>
        <w:rPr>
          <w:rFonts w:hint="eastAsia" w:ascii="宋体" w:hAnsi="宋体" w:eastAsia="宋体" w:cs="宋体"/>
          <w:b/>
          <w:sz w:val="24"/>
        </w:rPr>
        <w:t>第一章 合同书</w:t>
      </w:r>
      <w:bookmarkEnd w:id="385"/>
    </w:p>
    <w:p>
      <w:pPr>
        <w:spacing w:line="360" w:lineRule="auto"/>
        <w:ind w:firstLine="480" w:firstLineChars="200"/>
        <w:rPr>
          <w:rFonts w:ascii="宋体" w:hAnsi="宋体" w:cs="宋体"/>
          <w:sz w:val="24"/>
        </w:rPr>
      </w:pPr>
      <w:r>
        <w:rPr>
          <w:rFonts w:hint="eastAsia" w:ascii="宋体" w:hAnsi="宋体" w:cs="宋体"/>
          <w:sz w:val="24"/>
          <w:u w:val="single"/>
        </w:rPr>
        <w:t>2024年</w:t>
      </w:r>
      <w:r>
        <w:rPr>
          <w:rFonts w:hint="eastAsia" w:ascii="宋体" w:hAnsi="宋体" w:cs="宋体"/>
          <w:sz w:val="24"/>
          <w:u w:val="single"/>
          <w:lang w:val="en-US" w:eastAsia="zh-CN"/>
        </w:rPr>
        <w:t xml:space="preserve"> </w:t>
      </w:r>
      <w:r>
        <w:rPr>
          <w:rFonts w:hint="eastAsia" w:ascii="宋体" w:hAnsi="宋体" w:cs="宋体"/>
          <w:sz w:val="24"/>
          <w:u w:val="single"/>
        </w:rPr>
        <w:t>月</w:t>
      </w:r>
      <w:r>
        <w:rPr>
          <w:rFonts w:hint="eastAsia" w:ascii="宋体" w:hAnsi="宋体" w:cs="宋体"/>
          <w:sz w:val="24"/>
          <w:u w:val="single"/>
          <w:lang w:val="en-US" w:eastAsia="zh-CN"/>
        </w:rPr>
        <w:t xml:space="preserve">  </w:t>
      </w:r>
      <w:r>
        <w:rPr>
          <w:rFonts w:hint="eastAsia" w:ascii="宋体" w:hAnsi="宋体" w:cs="宋体"/>
          <w:sz w:val="24"/>
          <w:u w:val="single"/>
        </w:rPr>
        <w:t>日</w:t>
      </w:r>
      <w:r>
        <w:rPr>
          <w:rFonts w:hint="eastAsia" w:ascii="宋体" w:hAnsi="宋体" w:cs="宋体"/>
          <w:sz w:val="24"/>
        </w:rPr>
        <w:t>，</w:t>
      </w:r>
      <w:r>
        <w:rPr>
          <w:rFonts w:hint="eastAsia" w:ascii="宋体" w:hAnsi="宋体" w:cs="宋体"/>
          <w:sz w:val="24"/>
          <w:u w:val="single"/>
        </w:rPr>
        <w:t xml:space="preserve">   杭州临江环境能源有限公司   </w:t>
      </w:r>
      <w:r>
        <w:rPr>
          <w:rFonts w:hint="eastAsia" w:ascii="宋体" w:hAnsi="宋体" w:cs="宋体"/>
          <w:sz w:val="24"/>
        </w:rPr>
        <w:t>以</w:t>
      </w:r>
      <w:r>
        <w:rPr>
          <w:rFonts w:hint="eastAsia" w:ascii="宋体" w:hAnsi="宋体" w:cs="宋体"/>
          <w:sz w:val="24"/>
          <w:u w:val="single"/>
        </w:rPr>
        <w:t xml:space="preserve"> </w:t>
      </w:r>
      <w:r>
        <w:rPr>
          <w:rFonts w:hint="eastAsia" w:ascii="宋体" w:hAnsi="宋体"/>
          <w:sz w:val="24"/>
          <w:u w:val="single"/>
          <w:lang w:val="en-US" w:eastAsia="zh-CN"/>
        </w:rPr>
        <w:t xml:space="preserve">    </w:t>
      </w:r>
      <w:r>
        <w:rPr>
          <w:rFonts w:ascii="宋体" w:hAnsi="宋体"/>
          <w:sz w:val="24"/>
          <w:u w:val="single"/>
        </w:rPr>
        <w:t xml:space="preserve"> </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sz w:val="24"/>
          <w:u w:val="single"/>
          <w:lang w:eastAsia="zh-CN"/>
        </w:rPr>
        <w:t>2024年临江公司意大利百得燃烧器备件采购</w:t>
      </w:r>
      <w:r>
        <w:rPr>
          <w:rFonts w:hint="eastAsia" w:ascii="宋体" w:hAnsi="宋体" w:cs="宋体"/>
          <w:sz w:val="24"/>
          <w:u w:val="single"/>
        </w:rPr>
        <w:t xml:space="preserve">  </w:t>
      </w:r>
      <w:r>
        <w:rPr>
          <w:rFonts w:hint="eastAsia" w:ascii="宋体" w:hAnsi="宋体" w:cs="宋体"/>
          <w:sz w:val="24"/>
        </w:rPr>
        <w:t>项目进行了采购。经</w:t>
      </w:r>
      <w:r>
        <w:rPr>
          <w:rFonts w:hint="eastAsia" w:ascii="宋体" w:hAnsi="宋体" w:cs="宋体"/>
          <w:sz w:val="24"/>
          <w:u w:val="single"/>
        </w:rPr>
        <w:t>评审小组</w:t>
      </w:r>
      <w:r>
        <w:rPr>
          <w:rFonts w:hint="eastAsia" w:ascii="宋体" w:hAnsi="宋体" w:cs="宋体"/>
          <w:sz w:val="24"/>
        </w:rPr>
        <w:t>评定，</w:t>
      </w:r>
      <w:r>
        <w:rPr>
          <w:rFonts w:hint="eastAsia" w:ascii="宋体" w:hAnsi="宋体" w:cs="宋体"/>
          <w:sz w:val="24"/>
          <w:u w:val="single"/>
          <w:lang w:val="en-US" w:eastAsia="zh-CN"/>
        </w:rPr>
        <w:t xml:space="preserve">            </w:t>
      </w:r>
      <w:r>
        <w:rPr>
          <w:rFonts w:hint="eastAsia" w:ascii="宋体" w:hAnsi="宋体" w:cs="宋体"/>
          <w:sz w:val="24"/>
        </w:rPr>
        <w:t>为该项目中标或者成交供应商。现于中标或者成交通知书发出之日起</w:t>
      </w:r>
      <w:r>
        <w:rPr>
          <w:rFonts w:hint="eastAsia" w:ascii="宋体" w:hAnsi="宋体" w:cs="宋体"/>
          <w:sz w:val="24"/>
          <w:lang w:val="en-US" w:eastAsia="zh-CN"/>
        </w:rPr>
        <w:t>3</w:t>
      </w:r>
      <w:r>
        <w:rPr>
          <w:rFonts w:hint="eastAsia" w:ascii="宋体" w:hAnsi="宋体" w:cs="宋体"/>
          <w:sz w:val="24"/>
        </w:rPr>
        <w:t>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u w:val="single"/>
          <w:lang w:eastAsia="zh-CN"/>
        </w:rPr>
        <w:t>（</w:t>
      </w:r>
      <w:r>
        <w:rPr>
          <w:rFonts w:hint="eastAsia" w:ascii="宋体" w:hAnsi="宋体" w:cs="宋体"/>
          <w:sz w:val="24"/>
          <w:lang w:val="zh-CN"/>
        </w:rPr>
        <w:t>以下简称：甲方）和</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eastAsia="zh-CN"/>
        </w:rPr>
        <w:t>（</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rPr>
          <w:rFonts w:ascii="宋体" w:hAnsi="宋体" w:cs="宋体"/>
          <w:b/>
          <w:sz w:val="24"/>
        </w:rPr>
      </w:pPr>
      <w:bookmarkStart w:id="386" w:name="_Toc2232"/>
      <w:bookmarkStart w:id="387" w:name="_Toc24059"/>
      <w:bookmarkStart w:id="388" w:name="_Toc3029"/>
      <w:r>
        <w:rPr>
          <w:rFonts w:hint="eastAsia" w:ascii="宋体" w:hAnsi="宋体" w:cs="宋体"/>
          <w:b/>
          <w:sz w:val="24"/>
        </w:rPr>
        <w:t>一、合同组成部分</w:t>
      </w:r>
      <w:bookmarkEnd w:id="386"/>
      <w:bookmarkEnd w:id="387"/>
      <w:bookmarkEnd w:id="388"/>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5. 其他相关采购文件。</w:t>
      </w:r>
    </w:p>
    <w:p>
      <w:pPr>
        <w:spacing w:line="360" w:lineRule="auto"/>
        <w:ind w:firstLine="482" w:firstLineChars="200"/>
        <w:rPr>
          <w:rFonts w:ascii="宋体" w:hAnsi="宋体" w:cs="宋体"/>
          <w:b/>
          <w:sz w:val="24"/>
        </w:rPr>
      </w:pPr>
      <w:bookmarkStart w:id="389" w:name="_Toc27126"/>
      <w:bookmarkStart w:id="390" w:name="_Toc24300"/>
      <w:bookmarkStart w:id="391" w:name="_Toc21295"/>
      <w:r>
        <w:rPr>
          <w:rFonts w:hint="eastAsia" w:ascii="宋体" w:hAnsi="宋体" w:cs="宋体"/>
          <w:b/>
          <w:sz w:val="24"/>
        </w:rPr>
        <w:t xml:space="preserve">二、 </w:t>
      </w:r>
      <w:bookmarkEnd w:id="389"/>
      <w:bookmarkEnd w:id="390"/>
      <w:bookmarkEnd w:id="391"/>
      <w:r>
        <w:rPr>
          <w:rFonts w:hint="eastAsia" w:ascii="宋体" w:hAnsi="宋体" w:cs="宋体"/>
          <w:b/>
          <w:sz w:val="24"/>
        </w:rPr>
        <w:t>合同标的及价款</w:t>
      </w:r>
    </w:p>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rPr>
        <w:t>元人民币），</w:t>
      </w:r>
      <w:r>
        <w:rPr>
          <w:rFonts w:hint="eastAsia" w:ascii="宋体" w:hAnsi="宋体"/>
          <w:sz w:val="24"/>
          <w:lang w:val="en-US" w:eastAsia="zh-CN"/>
        </w:rPr>
        <w:t>其中能源</w:t>
      </w:r>
      <w:r>
        <w:rPr>
          <w:rFonts w:hint="eastAsia" w:ascii="宋体" w:hAnsi="宋体"/>
          <w:sz w:val="24"/>
          <w:u w:val="single"/>
          <w:lang w:val="en-US" w:eastAsia="zh-CN"/>
        </w:rPr>
        <w:t xml:space="preserve">       </w:t>
      </w:r>
      <w:r>
        <w:rPr>
          <w:rFonts w:hint="eastAsia" w:ascii="宋体" w:hAnsi="宋体"/>
          <w:sz w:val="24"/>
          <w:lang w:val="en-US" w:eastAsia="zh-CN"/>
        </w:rPr>
        <w:t>元，三固</w:t>
      </w:r>
      <w:r>
        <w:rPr>
          <w:rFonts w:hint="eastAsia" w:ascii="宋体" w:hAnsi="宋体"/>
          <w:sz w:val="24"/>
          <w:u w:val="single"/>
          <w:lang w:val="en-US" w:eastAsia="zh-CN"/>
        </w:rPr>
        <w:t xml:space="preserve">     </w:t>
      </w:r>
      <w:r>
        <w:rPr>
          <w:rFonts w:hint="eastAsia" w:ascii="宋体" w:hAnsi="宋体"/>
          <w:sz w:val="24"/>
          <w:lang w:val="en-US" w:eastAsia="zh-CN"/>
        </w:rPr>
        <w:t>元，</w:t>
      </w:r>
      <w:r>
        <w:rPr>
          <w:rFonts w:hint="eastAsia" w:ascii="宋体" w:hAnsi="宋体"/>
          <w:sz w:val="24"/>
        </w:rPr>
        <w:t>税率为</w:t>
      </w:r>
      <w:r>
        <w:rPr>
          <w:rFonts w:hint="eastAsia" w:ascii="宋体" w:hAnsi="宋体"/>
          <w:sz w:val="24"/>
          <w:u w:val="single"/>
        </w:rPr>
        <w:t xml:space="preserve"> </w:t>
      </w:r>
      <w:r>
        <w:rPr>
          <w:rFonts w:hint="eastAsia" w:ascii="宋体" w:hAnsi="宋体"/>
          <w:b/>
          <w:bCs/>
          <w:i/>
          <w:iCs/>
          <w:sz w:val="24"/>
          <w:u w:val="single"/>
          <w:lang w:val="en-US" w:eastAsia="zh-CN"/>
        </w:rPr>
        <w:t xml:space="preserve">     </w:t>
      </w:r>
      <w:r>
        <w:rPr>
          <w:rFonts w:hint="eastAsia" w:ascii="宋体" w:hAnsi="宋体"/>
          <w:sz w:val="24"/>
        </w:rPr>
        <w:t xml:space="preserve"> %，</w:t>
      </w:r>
      <w:r>
        <w:rPr>
          <w:rFonts w:hint="eastAsia" w:ascii="宋体" w:hAnsi="宋体" w:cs="宋体"/>
          <w:sz w:val="24"/>
        </w:rPr>
        <w:t>单价和总价均包括但不限于货款、包装费、运输费及运输保险费（如有）、装卸费、安装调试费（如有）、售后服务费及税费等全部费用。除非甲方有额外采购需求且经甲方书面同意，否则，本合同下总价不予调整。</w:t>
      </w:r>
    </w:p>
    <w:p>
      <w:pPr>
        <w:pStyle w:val="24"/>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费用已包含在货物单价中，甲方不再另外支付费用。</w:t>
      </w:r>
    </w:p>
    <w:p>
      <w:pPr>
        <w:spacing w:line="360" w:lineRule="auto"/>
        <w:ind w:firstLine="480" w:firstLineChars="200"/>
        <w:rPr>
          <w:rFonts w:hint="eastAsia" w:ascii="宋体" w:hAnsi="宋体" w:cs="宋体"/>
          <w:sz w:val="24"/>
        </w:rPr>
      </w:pPr>
      <w:r>
        <w:rPr>
          <w:rFonts w:hint="eastAsia" w:ascii="宋体" w:hAnsi="宋体" w:cs="宋体"/>
          <w:sz w:val="24"/>
        </w:rPr>
        <w:t>3.货物名称、品牌、规格型号：</w:t>
      </w:r>
    </w:p>
    <w:p>
      <w:pPr>
        <w:spacing w:line="360" w:lineRule="auto"/>
        <w:ind w:firstLine="480" w:firstLineChars="200"/>
        <w:rPr>
          <w:rFonts w:hint="eastAsia" w:ascii="宋体" w:hAnsi="宋体" w:cs="宋体"/>
          <w:sz w:val="24"/>
        </w:rPr>
      </w:pPr>
    </w:p>
    <w:tbl>
      <w:tblPr>
        <w:tblStyle w:val="15"/>
        <w:tblW w:w="891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672"/>
        <w:gridCol w:w="1233"/>
        <w:gridCol w:w="888"/>
        <w:gridCol w:w="3082"/>
        <w:gridCol w:w="663"/>
        <w:gridCol w:w="650"/>
        <w:gridCol w:w="862"/>
        <w:gridCol w:w="86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16" w:hRule="atLeast"/>
          <w:jc w:val="center"/>
        </w:trPr>
        <w:tc>
          <w:tcPr>
            <w:tcW w:w="67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23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名称</w:t>
            </w:r>
          </w:p>
        </w:tc>
        <w:tc>
          <w:tcPr>
            <w:tcW w:w="88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品牌</w:t>
            </w:r>
          </w:p>
        </w:tc>
        <w:tc>
          <w:tcPr>
            <w:tcW w:w="308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规格型号</w:t>
            </w:r>
          </w:p>
        </w:tc>
        <w:tc>
          <w:tcPr>
            <w:tcW w:w="66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65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w:t>
            </w:r>
          </w:p>
        </w:tc>
        <w:tc>
          <w:tcPr>
            <w:tcW w:w="86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单价</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（元）</w:t>
            </w:r>
          </w:p>
        </w:tc>
        <w:tc>
          <w:tcPr>
            <w:tcW w:w="86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金额</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70" w:hRule="atLeast"/>
          <w:jc w:val="center"/>
        </w:trPr>
        <w:tc>
          <w:tcPr>
            <w:tcW w:w="67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23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88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3082"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66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5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862" w:type="dxa"/>
            <w:tcBorders>
              <w:tl2br w:val="nil"/>
              <w:tr2bl w:val="nil"/>
            </w:tcBorders>
            <w:noWrap w:val="0"/>
            <w:vAlign w:val="center"/>
          </w:tcPr>
          <w:p>
            <w:pPr>
              <w:jc w:val="center"/>
              <w:rPr>
                <w:rFonts w:hint="default" w:ascii="宋体" w:hAnsi="宋体" w:eastAsia="宋体" w:cs="宋体"/>
                <w:i w:val="0"/>
                <w:iCs w:val="0"/>
                <w:color w:val="000000"/>
                <w:sz w:val="18"/>
                <w:szCs w:val="18"/>
                <w:u w:val="none"/>
                <w:lang w:val="en-US" w:eastAsia="zh-CN"/>
              </w:rPr>
            </w:pPr>
          </w:p>
        </w:tc>
        <w:tc>
          <w:tcPr>
            <w:tcW w:w="863" w:type="dxa"/>
            <w:tcBorders>
              <w:tl2br w:val="nil"/>
              <w:tr2bl w:val="nil"/>
            </w:tcBorders>
            <w:noWrap w:val="0"/>
            <w:vAlign w:val="center"/>
          </w:tcPr>
          <w:p>
            <w:pPr>
              <w:jc w:val="center"/>
              <w:rPr>
                <w:rFonts w:hint="default" w:ascii="宋体" w:hAnsi="宋体" w:eastAsia="宋体" w:cs="宋体"/>
                <w:i w:val="0"/>
                <w:iCs w:val="0"/>
                <w:color w:val="000000"/>
                <w:sz w:val="18"/>
                <w:szCs w:val="18"/>
                <w:u w:val="none"/>
                <w:lang w:val="en-US" w:eastAsia="zh-CN"/>
              </w:rPr>
            </w:pPr>
          </w:p>
        </w:tc>
      </w:tr>
    </w:tbl>
    <w:p>
      <w:pPr>
        <w:spacing w:line="360" w:lineRule="auto"/>
        <w:ind w:firstLine="480" w:firstLineChars="200"/>
        <w:rPr>
          <w:rFonts w:hint="eastAsia" w:ascii="宋体" w:hAnsi="宋体" w:cs="宋体"/>
          <w:sz w:val="24"/>
        </w:rPr>
      </w:pPr>
    </w:p>
    <w:p>
      <w:pPr>
        <w:spacing w:line="360" w:lineRule="auto"/>
        <w:ind w:firstLine="482" w:firstLineChars="200"/>
        <w:rPr>
          <w:rFonts w:ascii="宋体" w:hAnsi="宋体" w:cs="宋体"/>
          <w:b/>
          <w:sz w:val="24"/>
        </w:rPr>
      </w:pPr>
      <w:bookmarkStart w:id="392" w:name="_Toc10340"/>
      <w:bookmarkStart w:id="393" w:name="_Toc1814"/>
      <w:bookmarkStart w:id="394" w:name="_Toc22618"/>
      <w:r>
        <w:rPr>
          <w:rFonts w:hint="eastAsia" w:ascii="宋体" w:hAnsi="宋体" w:cs="宋体"/>
          <w:b/>
          <w:sz w:val="24"/>
        </w:rPr>
        <w:t>三、合同期限、货物交付期限、地点和联系方式、交付方式</w:t>
      </w:r>
    </w:p>
    <w:p>
      <w:pPr>
        <w:pStyle w:val="7"/>
        <w:ind w:firstLine="480" w:firstLineChars="200"/>
        <w:rPr>
          <w:lang w:val="en-US"/>
        </w:rPr>
      </w:pPr>
      <w:r>
        <w:rPr>
          <w:rFonts w:hint="eastAsia" w:hAnsi="宋体" w:cs="宋体"/>
        </w:rPr>
        <w:t>1.合同期限：</w:t>
      </w:r>
      <w:r>
        <w:rPr>
          <w:rFonts w:hint="eastAsia"/>
          <w:lang w:val="en-US"/>
        </w:rPr>
        <w:t>供货期限一年；</w:t>
      </w:r>
    </w:p>
    <w:p>
      <w:pPr>
        <w:pStyle w:val="7"/>
        <w:ind w:firstLine="480" w:firstLineChars="200"/>
        <w:rPr>
          <w:rFonts w:hint="eastAsia" w:hAnsi="宋体" w:cs="宋体"/>
        </w:rPr>
      </w:pPr>
      <w:r>
        <w:rPr>
          <w:rFonts w:hint="eastAsia" w:hAnsi="宋体" w:cs="宋体"/>
        </w:rPr>
        <w:t>2.</w:t>
      </w:r>
      <w:r>
        <w:rPr>
          <w:rFonts w:hint="eastAsia" w:hAnsi="宋体" w:cs="宋体"/>
          <w:lang w:val="zh-CN" w:eastAsia="zh-CN"/>
        </w:rPr>
        <w:t>履约方式：</w:t>
      </w:r>
      <w:r>
        <w:rPr>
          <w:rFonts w:hint="eastAsia" w:hAnsi="宋体" w:cs="宋体"/>
        </w:rPr>
        <w:t>按需分批次送货。在供货有效期内，单价不变，采购量可根据实际调整，最终按实际供货数量结算。合同清单数量仅为甲方暂定数量，乙方须按照甲方的采购订单数量供货，不得以超过合同暂定数量为由停止供货。在</w:t>
      </w:r>
      <w:r>
        <w:rPr>
          <w:rFonts w:hint="eastAsia" w:hAnsi="宋体" w:cs="宋体"/>
          <w:lang w:eastAsia="zh-CN"/>
        </w:rPr>
        <w:t>甲方</w:t>
      </w:r>
      <w:r>
        <w:rPr>
          <w:rFonts w:hint="eastAsia" w:hAnsi="宋体" w:cs="宋体"/>
        </w:rPr>
        <w:t>发出送货通知后，</w:t>
      </w:r>
      <w:r>
        <w:rPr>
          <w:rFonts w:hint="eastAsia" w:hAnsi="宋体" w:cs="宋体"/>
          <w:lang w:eastAsia="zh-CN"/>
        </w:rPr>
        <w:t>乙方15个工作日</w:t>
      </w:r>
      <w:r>
        <w:rPr>
          <w:rFonts w:hint="eastAsia" w:hAnsi="宋体" w:cs="宋体"/>
        </w:rPr>
        <w:t>内将货物如数送至</w:t>
      </w:r>
      <w:r>
        <w:rPr>
          <w:rFonts w:hint="eastAsia" w:hAnsi="宋体" w:cs="宋体"/>
          <w:lang w:eastAsia="zh-CN"/>
        </w:rPr>
        <w:t>甲方</w:t>
      </w:r>
      <w:r>
        <w:rPr>
          <w:rFonts w:hint="eastAsia" w:hAnsi="宋体" w:cs="宋体"/>
        </w:rPr>
        <w:t>指定地点；</w:t>
      </w:r>
    </w:p>
    <w:p>
      <w:pPr>
        <w:pStyle w:val="7"/>
        <w:ind w:firstLine="480" w:firstLineChars="200"/>
        <w:rPr>
          <w:rFonts w:hAnsi="宋体" w:cs="宋体"/>
        </w:rPr>
      </w:pPr>
      <w:r>
        <w:rPr>
          <w:rFonts w:hint="eastAsia" w:hAnsi="宋体" w:cs="宋体"/>
        </w:rPr>
        <w:t>3.交付地点：浙江省杭州市钱塘区临江街道红十五路10388-123号，杭州临江环境能源有限公司厂区内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u w:val="single"/>
        </w:rPr>
        <w:t>按采购订单要求执行 ；</w:t>
      </w:r>
    </w:p>
    <w:p>
      <w:pPr>
        <w:spacing w:line="360" w:lineRule="auto"/>
        <w:ind w:firstLine="480" w:firstLineChars="200"/>
      </w:pPr>
      <w:r>
        <w:rPr>
          <w:rFonts w:hint="eastAsia" w:ascii="宋体" w:hAnsi="宋体" w:cs="宋体"/>
          <w:sz w:val="24"/>
        </w:rPr>
        <w:t>5.乙方联系人及联系方式：</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6.交付方式：</w:t>
      </w:r>
      <w:r>
        <w:rPr>
          <w:rFonts w:hint="eastAsia" w:ascii="宋体" w:hAnsi="宋体" w:cs="宋体"/>
          <w:sz w:val="24"/>
          <w:u w:val="single"/>
        </w:rPr>
        <w:t xml:space="preserve"> 按采购订单要求执行 ，基本要求如下： </w:t>
      </w:r>
    </w:p>
    <w:p>
      <w:pPr>
        <w:spacing w:line="360" w:lineRule="auto"/>
        <w:ind w:firstLine="480" w:firstLineChars="200"/>
        <w:rPr>
          <w:rFonts w:ascii="宋体" w:hAnsi="宋体" w:cs="宋体"/>
          <w:sz w:val="24"/>
        </w:rPr>
      </w:pPr>
      <w:r>
        <w:rPr>
          <w:rFonts w:hint="eastAsia" w:ascii="宋体" w:hAnsi="宋体" w:cs="宋体"/>
          <w:sz w:val="24"/>
        </w:rPr>
        <w:t>（1）推荐乙方安排自有员工送货到甲方指定地点；</w:t>
      </w:r>
    </w:p>
    <w:p>
      <w:pPr>
        <w:spacing w:line="360" w:lineRule="auto"/>
        <w:ind w:firstLine="480" w:firstLineChars="200"/>
        <w:rPr>
          <w:rFonts w:ascii="宋体" w:hAnsi="宋体" w:cs="宋体"/>
          <w:sz w:val="24"/>
        </w:rPr>
      </w:pPr>
      <w:r>
        <w:rPr>
          <w:rFonts w:hint="eastAsia" w:ascii="宋体" w:hAnsi="宋体" w:cs="宋体"/>
          <w:sz w:val="24"/>
        </w:rPr>
        <w:t>（2）乙方委托物流公司交货的，乙方应提前告知甲方经办人员，同时须授权物流人员办理交货、验收、退换货等事宜。</w:t>
      </w:r>
    </w:p>
    <w:p>
      <w:pPr>
        <w:spacing w:line="360" w:lineRule="auto"/>
        <w:ind w:firstLine="480" w:firstLineChars="200"/>
        <w:rPr>
          <w:b/>
        </w:rPr>
      </w:pPr>
      <w:r>
        <w:rPr>
          <w:rFonts w:hint="eastAsia" w:ascii="宋体" w:hAnsi="宋体" w:cs="宋体"/>
          <w:sz w:val="24"/>
        </w:rPr>
        <w:t>（3）特殊情况下，双方友好协商解决。</w:t>
      </w:r>
    </w:p>
    <w:p>
      <w:pPr>
        <w:spacing w:line="360" w:lineRule="auto"/>
        <w:ind w:firstLine="422" w:firstLineChars="200"/>
        <w:rPr>
          <w:b/>
        </w:rPr>
      </w:pPr>
      <w:r>
        <w:rPr>
          <w:rFonts w:hint="eastAsia"/>
          <w:b/>
        </w:rPr>
        <w:t>四、技术和质量要求</w:t>
      </w:r>
    </w:p>
    <w:p>
      <w:pPr>
        <w:pStyle w:val="24"/>
        <w:spacing w:before="0" w:beforeAutospacing="0" w:after="0" w:afterAutospacing="0" w:line="360" w:lineRule="auto"/>
        <w:ind w:firstLine="480" w:firstLineChars="200"/>
      </w:pPr>
      <w:r>
        <w:rPr>
          <w:rFonts w:hint="eastAsia"/>
        </w:rPr>
        <w:t xml:space="preserve">1.品牌和型号等技术参数满足采购内容中的规格型号/技术要求，有国家、地方、行业标准、规范（含强制适用标准、规范和推荐适用标准、规范）的，按相应标准、规范执行（不同标准、规范之间要求不一的，按要求较高者执行）。 </w:t>
      </w:r>
    </w:p>
    <w:p>
      <w:pPr>
        <w:pStyle w:val="24"/>
        <w:spacing w:before="0" w:beforeAutospacing="0" w:after="0" w:afterAutospacing="0" w:line="360" w:lineRule="auto"/>
        <w:ind w:firstLine="480" w:firstLineChars="200"/>
        <w:rPr>
          <w:rFonts w:hint="eastAsia"/>
        </w:rPr>
      </w:pPr>
      <w:r>
        <w:rPr>
          <w:rFonts w:hint="eastAsia"/>
        </w:rPr>
        <w:t>2.乙方提供的</w:t>
      </w:r>
      <w:r>
        <w:rPr>
          <w:rFonts w:hint="eastAsia"/>
          <w:lang w:val="en-US" w:eastAsia="zh-CN"/>
        </w:rPr>
        <w:t>备件</w:t>
      </w:r>
      <w:r>
        <w:rPr>
          <w:rFonts w:hint="eastAsia"/>
        </w:rPr>
        <w:t>必须为原厂正品，不得为假冒伪劣产品。</w:t>
      </w:r>
    </w:p>
    <w:p>
      <w:pPr>
        <w:pStyle w:val="24"/>
        <w:spacing w:before="0" w:beforeAutospacing="0" w:after="0" w:afterAutospacing="0" w:line="360" w:lineRule="auto"/>
        <w:ind w:firstLine="480" w:firstLineChars="200"/>
        <w:rPr>
          <w:rFonts w:hint="eastAsia"/>
        </w:rPr>
      </w:pPr>
      <w:r>
        <w:rPr>
          <w:rFonts w:hint="eastAsia"/>
          <w:lang w:val="en-US" w:eastAsia="zh-CN"/>
        </w:rPr>
        <w:t>3</w:t>
      </w:r>
      <w:r>
        <w:rPr>
          <w:rFonts w:hint="eastAsia"/>
          <w:lang w:val="en-US"/>
        </w:rPr>
        <w:t>.质保期：验收合格后1年。</w:t>
      </w:r>
    </w:p>
    <w:p>
      <w:pPr>
        <w:spacing w:line="360" w:lineRule="auto"/>
        <w:ind w:firstLine="482" w:firstLineChars="200"/>
        <w:rPr>
          <w:rFonts w:ascii="宋体" w:hAnsi="宋体" w:cs="宋体"/>
          <w:b/>
          <w:sz w:val="24"/>
        </w:rPr>
      </w:pPr>
      <w:bookmarkStart w:id="395" w:name="_Toc14563"/>
      <w:bookmarkStart w:id="396" w:name="_Toc6596"/>
      <w:bookmarkStart w:id="397" w:name="_Toc1125"/>
      <w:r>
        <w:rPr>
          <w:rFonts w:hint="eastAsia" w:ascii="宋体" w:hAnsi="宋体" w:cs="宋体"/>
          <w:b/>
          <w:sz w:val="24"/>
        </w:rPr>
        <w:t>五、服务要求</w:t>
      </w:r>
    </w:p>
    <w:p>
      <w:pPr>
        <w:pStyle w:val="7"/>
        <w:ind w:firstLine="480" w:firstLineChars="200"/>
        <w:rPr>
          <w:b/>
          <w:bCs/>
          <w:lang w:val="en-US"/>
        </w:rPr>
      </w:pPr>
      <w:r>
        <w:rPr>
          <w:rFonts w:hint="eastAsia"/>
          <w:lang w:val="en-US"/>
        </w:rPr>
        <w:t>1.根据甲方生产计划，</w:t>
      </w:r>
      <w:r>
        <w:rPr>
          <w:rFonts w:hint="eastAsia"/>
          <w:lang w:val="en-US" w:eastAsia="zh-CN"/>
        </w:rPr>
        <w:t>乙方</w:t>
      </w:r>
      <w:r>
        <w:rPr>
          <w:rFonts w:hint="eastAsia"/>
          <w:lang w:val="en-US"/>
        </w:rPr>
        <w:t>负责在接到</w:t>
      </w:r>
      <w:r>
        <w:rPr>
          <w:rFonts w:hint="eastAsia"/>
          <w:lang w:val="en-US" w:eastAsia="zh-CN"/>
        </w:rPr>
        <w:t>甲方</w:t>
      </w:r>
      <w:r>
        <w:rPr>
          <w:rFonts w:hint="eastAsia"/>
          <w:lang w:val="en-US"/>
        </w:rPr>
        <w:t>电话或书面通知后在</w:t>
      </w:r>
      <w:r>
        <w:rPr>
          <w:rFonts w:hint="eastAsia"/>
          <w:lang w:val="en-US" w:eastAsia="zh-CN"/>
        </w:rPr>
        <w:t>1</w:t>
      </w:r>
      <w:r>
        <w:rPr>
          <w:rFonts w:hint="eastAsia"/>
          <w:lang w:val="en-US"/>
        </w:rPr>
        <w:t>5个工作日内完成供货。乙方负责卸货，人工费由乙方承担，甲方可免费提供叉车服务。</w:t>
      </w:r>
    </w:p>
    <w:p>
      <w:pPr>
        <w:pStyle w:val="7"/>
        <w:ind w:firstLine="480" w:firstLineChars="200"/>
        <w:rPr>
          <w:lang w:val="en-US"/>
        </w:rPr>
      </w:pPr>
      <w:r>
        <w:rPr>
          <w:rFonts w:hint="eastAsia"/>
          <w:lang w:val="en-US"/>
        </w:rPr>
        <w:t>2.乙方必须满足甲方售后服务要求。如使用过程发生问题，乙方须在接到甲方通知后必须4小时内赶到现场进行处理，12小时内做出书面答复并提供解决方案。若需要派遣技术人员，则应在接到甲方通知后</w:t>
      </w:r>
      <w:r>
        <w:rPr>
          <w:rFonts w:hint="eastAsia"/>
          <w:lang w:val="en-US" w:eastAsia="zh-CN"/>
        </w:rPr>
        <w:t>，</w:t>
      </w:r>
      <w:r>
        <w:rPr>
          <w:rFonts w:hint="eastAsia"/>
          <w:lang w:val="en-US"/>
        </w:rPr>
        <w:t>24小时内派人员到达现场进行免费指导解决问题。</w:t>
      </w:r>
    </w:p>
    <w:p>
      <w:pPr>
        <w:pStyle w:val="7"/>
        <w:ind w:firstLine="480" w:firstLineChars="200"/>
        <w:rPr>
          <w:lang w:val="en-US"/>
        </w:rPr>
      </w:pPr>
      <w:r>
        <w:rPr>
          <w:rFonts w:hint="eastAsia"/>
          <w:lang w:val="en-US"/>
        </w:rPr>
        <w:t>3.甲方不再对任何售后服务进行付费。乙方的派遣人员产生的一切费用由供应商承担。</w:t>
      </w:r>
    </w:p>
    <w:p>
      <w:pPr>
        <w:pStyle w:val="7"/>
        <w:ind w:firstLine="480" w:firstLineChars="200"/>
        <w:rPr>
          <w:lang w:val="en-US"/>
        </w:rPr>
      </w:pPr>
      <w:r>
        <w:rPr>
          <w:lang w:val="en-US"/>
        </w:rPr>
        <w:t>4</w:t>
      </w:r>
      <w:r>
        <w:rPr>
          <w:rFonts w:hint="eastAsia"/>
          <w:lang w:val="en-US"/>
        </w:rPr>
        <w:t>.在乙方所供的货物使用过程中，经甲方检测不合格的，乙方应在12小时内更换合格货物，如造成甲方机械设备故障或货物损坏，由乙方承担甲方的一切损失，包括直接和间接损失。</w:t>
      </w:r>
    </w:p>
    <w:p>
      <w:pPr>
        <w:spacing w:line="360" w:lineRule="auto"/>
        <w:ind w:firstLine="482" w:firstLineChars="200"/>
        <w:rPr>
          <w:rFonts w:ascii="宋体" w:hAnsi="宋体" w:cs="宋体"/>
          <w:b/>
          <w:sz w:val="24"/>
        </w:rPr>
      </w:pPr>
      <w:r>
        <w:rPr>
          <w:rFonts w:hint="eastAsia" w:ascii="宋体" w:hAnsi="宋体" w:cs="宋体"/>
          <w:b/>
          <w:sz w:val="24"/>
        </w:rPr>
        <w:t>六、检验和验收</w:t>
      </w:r>
      <w:bookmarkEnd w:id="395"/>
      <w:bookmarkEnd w:id="396"/>
      <w:bookmarkEnd w:id="397"/>
    </w:p>
    <w:p>
      <w:pPr>
        <w:tabs>
          <w:tab w:val="left" w:pos="360"/>
          <w:tab w:val="left" w:pos="540"/>
          <w:tab w:val="left" w:pos="1080"/>
        </w:tabs>
        <w:spacing w:line="360" w:lineRule="auto"/>
        <w:ind w:firstLine="480" w:firstLineChars="200"/>
        <w:rPr>
          <w:rFonts w:ascii="宋体" w:hAnsi="宋体" w:eastAsia="宋体" w:cs="宋体"/>
          <w:b/>
          <w:bCs/>
          <w:sz w:val="24"/>
        </w:rPr>
      </w:pPr>
      <w:r>
        <w:rPr>
          <w:rFonts w:hint="eastAsia" w:ascii="宋体" w:hAnsi="宋体" w:cs="宋体"/>
          <w:sz w:val="24"/>
        </w:rPr>
        <w:t>1.货物交付前，乙方应对货物的质量、数量等方面进行详细、全面的检验，并向甲方</w:t>
      </w:r>
      <w:r>
        <w:rPr>
          <w:rFonts w:hint="eastAsia" w:ascii="宋体" w:hAnsi="宋体" w:cs="宋体"/>
          <w:b/>
          <w:bCs/>
          <w:sz w:val="24"/>
          <w:u w:val="single"/>
        </w:rPr>
        <w:t>出具证明货物符合合同约定的文件</w:t>
      </w:r>
      <w:r>
        <w:rPr>
          <w:rFonts w:hint="eastAsia" w:ascii="宋体" w:hAnsi="宋体" w:cs="宋体"/>
          <w:sz w:val="24"/>
        </w:rPr>
        <w:t>；货物交付时，甲方在</w:t>
      </w:r>
      <w:r>
        <w:rPr>
          <w:rFonts w:hint="eastAsia" w:ascii="宋体" w:hAnsi="宋体" w:cs="宋体"/>
          <w:b/>
          <w:sz w:val="24"/>
          <w:u w:val="single"/>
        </w:rPr>
        <w:t>5个工作日</w:t>
      </w:r>
      <w:r>
        <w:rPr>
          <w:rFonts w:hint="eastAsia" w:ascii="宋体" w:hAnsi="宋体" w:cs="宋体"/>
          <w:sz w:val="24"/>
        </w:rPr>
        <w:t>内组织验收，验收应出具</w:t>
      </w:r>
      <w:r>
        <w:rPr>
          <w:rFonts w:hint="eastAsia" w:ascii="宋体" w:hAnsi="宋体" w:cs="宋体"/>
          <w:b/>
          <w:bCs/>
          <w:sz w:val="24"/>
          <w:u w:val="single"/>
        </w:rPr>
        <w:t>验收单</w:t>
      </w:r>
      <w:r>
        <w:rPr>
          <w:rFonts w:hint="eastAsia" w:ascii="宋体" w:hAnsi="宋体" w:cs="宋体"/>
          <w:sz w:val="24"/>
          <w:u w:val="single"/>
        </w:rPr>
        <w:t>（</w:t>
      </w:r>
      <w:r>
        <w:rPr>
          <w:rFonts w:hint="eastAsia" w:ascii="宋体" w:hAnsi="宋体" w:cs="宋体"/>
          <w:sz w:val="24"/>
        </w:rPr>
        <w:t>如因货物检测需要更长时间的，组织验收时间为自货物交付之日起至甲方收到检测报告后5个工作日内）</w:t>
      </w:r>
      <w:r>
        <w:rPr>
          <w:rFonts w:hint="eastAsia" w:ascii="宋体" w:hAnsi="宋体" w:cs="宋体"/>
          <w:b/>
          <w:bCs/>
          <w:sz w:val="24"/>
        </w:rPr>
        <w:t>。</w:t>
      </w:r>
      <w:r>
        <w:rPr>
          <w:rFonts w:hint="eastAsia" w:ascii="宋体" w:hAnsi="宋体" w:cs="宋体"/>
          <w:sz w:val="24"/>
        </w:rPr>
        <w:t>若甲方认为有必要可邀请相关方参加。</w:t>
      </w:r>
    </w:p>
    <w:p>
      <w:pPr>
        <w:tabs>
          <w:tab w:val="left" w:pos="360"/>
          <w:tab w:val="left" w:pos="540"/>
          <w:tab w:val="left" w:pos="1080"/>
        </w:tabs>
        <w:spacing w:line="360" w:lineRule="auto"/>
        <w:ind w:firstLine="480" w:firstLineChars="200"/>
        <w:rPr>
          <w:rFonts w:ascii="宋体" w:hAnsi="宋体" w:eastAsia="宋体" w:cs="宋体"/>
          <w:sz w:val="24"/>
        </w:rPr>
      </w:pPr>
      <w:r>
        <w:rPr>
          <w:rFonts w:hint="eastAsia" w:ascii="宋体" w:hAnsi="宋体" w:cs="宋体"/>
          <w:sz w:val="24"/>
        </w:rPr>
        <w:t>2.</w:t>
      </w:r>
      <w:r>
        <w:rPr>
          <w:rFonts w:hint="eastAsia" w:ascii="宋体" w:hAnsi="宋体" w:eastAsia="宋体" w:cs="宋体"/>
          <w:sz w:val="24"/>
        </w:rPr>
        <w:t>证明货物符合合同约定的文件是指包括但不限于合格证、检测报告（制造厂家或者第三方机构）、质量承诺</w:t>
      </w:r>
      <w:r>
        <w:rPr>
          <w:rFonts w:hint="eastAsia" w:ascii="宋体" w:hAnsi="宋体" w:cs="宋体"/>
          <w:sz w:val="24"/>
        </w:rPr>
        <w:t>（格式自拟）</w:t>
      </w:r>
      <w:r>
        <w:rPr>
          <w:rFonts w:hint="eastAsia" w:ascii="宋体" w:hAnsi="宋体" w:eastAsia="宋体" w:cs="宋体"/>
          <w:sz w:val="24"/>
        </w:rPr>
        <w:t>等证明材料。以下情况</w:t>
      </w:r>
      <w:r>
        <w:rPr>
          <w:rFonts w:hint="eastAsia" w:ascii="宋体" w:hAnsi="宋体" w:cs="宋体"/>
          <w:sz w:val="24"/>
        </w:rPr>
        <w:t>在甲方同意的前提下，</w:t>
      </w:r>
      <w:r>
        <w:rPr>
          <w:rFonts w:hint="eastAsia" w:ascii="宋体" w:hAnsi="宋体" w:eastAsia="宋体" w:cs="宋体"/>
          <w:sz w:val="24"/>
        </w:rPr>
        <w:t>可采用质量承诺的方式：</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eastAsia="宋体" w:cs="宋体"/>
          <w:sz w:val="24"/>
        </w:rPr>
        <w:t>低值易耗或者非标件等</w:t>
      </w:r>
      <w:r>
        <w:rPr>
          <w:rFonts w:hint="eastAsia" w:ascii="宋体" w:hAnsi="宋体" w:cs="宋体"/>
          <w:sz w:val="24"/>
        </w:rPr>
        <w:t>货物</w:t>
      </w:r>
      <w:r>
        <w:rPr>
          <w:rFonts w:hint="eastAsia" w:ascii="宋体" w:hAnsi="宋体" w:eastAsia="宋体" w:cs="宋体"/>
          <w:sz w:val="24"/>
        </w:rPr>
        <w:t>不能提供合格证或者检测报告的</w:t>
      </w:r>
      <w:r>
        <w:rPr>
          <w:rFonts w:hint="eastAsia" w:ascii="宋体" w:hAnsi="宋体" w:cs="宋体"/>
          <w:sz w:val="24"/>
        </w:rPr>
        <w:t>；</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（2）非关键部位的货物，品牌制造商或者集成商采用外购形式的。</w:t>
      </w:r>
    </w:p>
    <w:p>
      <w:pPr>
        <w:tabs>
          <w:tab w:val="left" w:pos="360"/>
          <w:tab w:val="left" w:pos="540"/>
          <w:tab w:val="left" w:pos="1080"/>
        </w:tabs>
        <w:spacing w:line="360" w:lineRule="auto"/>
        <w:ind w:firstLine="480" w:firstLineChars="200"/>
        <w:rPr>
          <w:rFonts w:eastAsia="宋体"/>
        </w:rPr>
      </w:pPr>
      <w:r>
        <w:rPr>
          <w:rFonts w:hint="eastAsia" w:ascii="宋体" w:hAnsi="宋体" w:cs="宋体"/>
          <w:sz w:val="24"/>
        </w:rPr>
        <w:t>3.乙方所供货物的品牌、型号等应与合同约定要求一致，若因停产、缺货等因素造成的不一致情况，乙方应出具书面情况说明，并承诺替换的货物质量不低于合同约定要求，品牌为合同约定的同档次产品。</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4.合同期满或者履行完毕后，甲方有权组织（包括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ascii="宋体" w:hAnsi="宋体" w:cs="宋体"/>
          <w:i/>
          <w:sz w:val="24"/>
        </w:rPr>
      </w:pPr>
      <w:r>
        <w:rPr>
          <w:rFonts w:hint="eastAsia" w:ascii="宋体" w:hAnsi="宋体" w:cs="宋体"/>
          <w:sz w:val="24"/>
        </w:rPr>
        <w:t>5.检验和验收标准、程序等具体内容以及前述验收书的效力如下：</w:t>
      </w:r>
    </w:p>
    <w:p>
      <w:pPr>
        <w:tabs>
          <w:tab w:val="left" w:pos="360"/>
          <w:tab w:val="left" w:pos="540"/>
          <w:tab w:val="left" w:pos="1080"/>
        </w:tabs>
        <w:spacing w:line="360" w:lineRule="auto"/>
        <w:ind w:firstLine="480" w:firstLineChars="200"/>
        <w:rPr>
          <w:rFonts w:ascii="宋体" w:hAnsi="宋体"/>
          <w:b/>
          <w:sz w:val="24"/>
        </w:rPr>
      </w:pPr>
      <w:r>
        <w:rPr>
          <w:rFonts w:hint="eastAsia" w:ascii="宋体" w:hAnsi="宋体"/>
          <w:sz w:val="24"/>
          <w:u w:val="single"/>
        </w:rPr>
        <w:t>有合法资质第三方机构验收单或者验收报告效力&gt;甲方的验收单或者验收报告&gt;合格证或出厂检测报告。</w:t>
      </w:r>
      <w:r>
        <w:rPr>
          <w:rFonts w:hint="eastAsia" w:ascii="宋体" w:hAnsi="宋体"/>
          <w:b/>
          <w:sz w:val="24"/>
        </w:rPr>
        <w:t xml:space="preserve"> </w:t>
      </w:r>
    </w:p>
    <w:p>
      <w:pPr>
        <w:spacing w:line="360" w:lineRule="auto"/>
        <w:ind w:firstLine="482" w:firstLineChars="200"/>
        <w:rPr>
          <w:rFonts w:ascii="宋体" w:hAnsi="宋体" w:cs="宋体"/>
          <w:b/>
          <w:sz w:val="24"/>
        </w:rPr>
      </w:pPr>
      <w:r>
        <w:rPr>
          <w:rFonts w:hint="eastAsia" w:ascii="宋体" w:hAnsi="宋体" w:cs="宋体"/>
          <w:b/>
          <w:sz w:val="24"/>
        </w:rPr>
        <w:t>七、验收特别约定条款</w:t>
      </w:r>
    </w:p>
    <w:p>
      <w:pPr>
        <w:spacing w:line="360" w:lineRule="auto"/>
        <w:ind w:firstLine="482" w:firstLineChars="200"/>
        <w:rPr>
          <w:rFonts w:hint="eastAsia" w:ascii="宋体" w:hAnsi="宋体" w:cs="宋体"/>
          <w:b/>
          <w:sz w:val="24"/>
          <w:lang w:val="en-US" w:eastAsia="zh-CN"/>
        </w:rPr>
      </w:pPr>
      <w:r>
        <w:rPr>
          <w:rFonts w:hint="eastAsia" w:ascii="宋体" w:hAnsi="宋体" w:cs="宋体"/>
          <w:b/>
          <w:sz w:val="24"/>
          <w:lang w:val="en-US" w:eastAsia="zh-CN"/>
        </w:rPr>
        <w:t>无。</w:t>
      </w:r>
    </w:p>
    <w:p>
      <w:pPr>
        <w:spacing w:line="360" w:lineRule="auto"/>
        <w:ind w:firstLine="482" w:firstLineChars="200"/>
        <w:rPr>
          <w:rFonts w:ascii="宋体" w:hAnsi="宋体" w:cs="宋体"/>
          <w:b/>
          <w:sz w:val="24"/>
        </w:rPr>
      </w:pPr>
      <w:r>
        <w:rPr>
          <w:rFonts w:hint="eastAsia" w:ascii="宋体" w:hAnsi="宋体" w:cs="宋体"/>
          <w:b/>
          <w:sz w:val="24"/>
        </w:rPr>
        <w:t>八、履约保证金</w:t>
      </w:r>
    </w:p>
    <w:p>
      <w:pPr>
        <w:pStyle w:val="24"/>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pStyle w:val="7"/>
        <w:ind w:firstLine="480" w:firstLineChars="200"/>
        <w:rPr>
          <w:lang w:val="en-US"/>
        </w:rPr>
      </w:pPr>
      <w:r>
        <w:rPr>
          <w:rFonts w:hint="eastAsia"/>
          <w:lang w:val="en-US"/>
        </w:rPr>
        <w:t>1.履约保证金的比例为合同金额的</w:t>
      </w:r>
      <w:r>
        <w:rPr>
          <w:rFonts w:hint="eastAsia"/>
          <w:u w:val="single"/>
          <w:lang w:val="en-US"/>
        </w:rPr>
        <w:t xml:space="preserve">  5   </w:t>
      </w:r>
      <w:r>
        <w:rPr>
          <w:rFonts w:hint="eastAsia"/>
          <w:lang w:val="en-US"/>
        </w:rPr>
        <w:t>%，金额为</w:t>
      </w:r>
      <w:r>
        <w:rPr>
          <w:rFonts w:hint="eastAsia"/>
          <w:u w:val="single"/>
          <w:lang w:val="en-US"/>
        </w:rPr>
        <w:t xml:space="preserve">  </w:t>
      </w:r>
      <w:r>
        <w:rPr>
          <w:rFonts w:hint="eastAsia"/>
          <w:u w:val="single"/>
          <w:lang w:val="en-US" w:eastAsia="zh-CN"/>
        </w:rPr>
        <w:t xml:space="preserve">    </w:t>
      </w:r>
      <w:r>
        <w:rPr>
          <w:rFonts w:hint="eastAsia"/>
          <w:u w:val="single"/>
          <w:lang w:val="en-US"/>
        </w:rPr>
        <w:t xml:space="preserve">  </w:t>
      </w:r>
      <w:r>
        <w:rPr>
          <w:rFonts w:hint="eastAsia"/>
          <w:lang w:val="en-US"/>
        </w:rPr>
        <w:t>元；</w:t>
      </w:r>
    </w:p>
    <w:p>
      <w:pPr>
        <w:pStyle w:val="7"/>
        <w:ind w:firstLine="480" w:firstLineChars="200"/>
        <w:rPr>
          <w:lang w:val="en-US"/>
        </w:rPr>
      </w:pPr>
      <w:r>
        <w:rPr>
          <w:rFonts w:hint="eastAsia"/>
          <w:lang w:val="en-US"/>
        </w:rPr>
        <w:t>2.履约保证金支付时间：乙方应于本合同签订前按招标文件和本合同约定的支付履约保证金；</w:t>
      </w:r>
    </w:p>
    <w:p>
      <w:pPr>
        <w:pStyle w:val="7"/>
        <w:ind w:firstLine="480" w:firstLineChars="200"/>
        <w:rPr>
          <w:lang w:val="en-US"/>
        </w:rPr>
      </w:pPr>
      <w:r>
        <w:rPr>
          <w:lang w:val="en-US"/>
        </w:rPr>
        <w:t>3.</w:t>
      </w:r>
      <w:r>
        <w:rPr>
          <w:rFonts w:hint="eastAsia"/>
          <w:lang w:val="en-US"/>
        </w:rPr>
        <w:t>履约保证金支付方式： 电汇/转账 ；账户信息如下：</w:t>
      </w:r>
    </w:p>
    <w:p>
      <w:pPr>
        <w:pStyle w:val="7"/>
        <w:ind w:firstLine="480" w:firstLineChars="200"/>
        <w:rPr>
          <w:lang w:val="en-US"/>
        </w:rPr>
      </w:pPr>
      <w:r>
        <w:rPr>
          <w:rFonts w:hint="eastAsia"/>
          <w:lang w:val="en-US"/>
        </w:rPr>
        <w:t xml:space="preserve">名称：杭州临江环境能源有限公司   </w:t>
      </w:r>
    </w:p>
    <w:p>
      <w:pPr>
        <w:pStyle w:val="7"/>
        <w:ind w:firstLine="480" w:firstLineChars="200"/>
        <w:rPr>
          <w:lang w:val="en-US"/>
        </w:rPr>
      </w:pPr>
      <w:r>
        <w:rPr>
          <w:rFonts w:hint="eastAsia"/>
          <w:lang w:val="en-US"/>
        </w:rPr>
        <w:t>税号：91330100MA2B02NX2L</w:t>
      </w:r>
    </w:p>
    <w:p>
      <w:pPr>
        <w:pStyle w:val="7"/>
        <w:ind w:firstLine="480" w:firstLineChars="200"/>
        <w:rPr>
          <w:lang w:val="en-US"/>
        </w:rPr>
      </w:pPr>
      <w:r>
        <w:rPr>
          <w:rFonts w:hint="eastAsia"/>
          <w:lang w:val="en-US"/>
        </w:rPr>
        <w:t>地址电话：浙江省杭州市钱塘区临江街道红十五路10388-123号 0571-81997919</w:t>
      </w:r>
    </w:p>
    <w:p>
      <w:pPr>
        <w:pStyle w:val="7"/>
        <w:ind w:firstLine="480" w:firstLineChars="200"/>
        <w:rPr>
          <w:lang w:val="en-US"/>
        </w:rPr>
      </w:pPr>
      <w:r>
        <w:rPr>
          <w:rFonts w:hint="eastAsia"/>
          <w:lang w:val="en-US"/>
        </w:rPr>
        <w:t>开户行及账号：杭州银行大江东支行 3301040160008775754</w:t>
      </w:r>
    </w:p>
    <w:p>
      <w:pPr>
        <w:pStyle w:val="7"/>
        <w:ind w:firstLine="480" w:firstLineChars="200"/>
        <w:rPr>
          <w:lang w:val="en-US"/>
        </w:rPr>
      </w:pPr>
      <w:r>
        <w:rPr>
          <w:lang w:val="en-US"/>
        </w:rPr>
        <w:t>4</w:t>
      </w:r>
      <w:r>
        <w:rPr>
          <w:rFonts w:hint="eastAsia"/>
          <w:lang w:val="en-US"/>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pStyle w:val="7"/>
        <w:ind w:firstLine="480" w:firstLineChars="200"/>
        <w:rPr>
          <w:lang w:val="en-US"/>
        </w:rPr>
      </w:pPr>
      <w:r>
        <w:rPr>
          <w:lang w:val="en-US"/>
        </w:rPr>
        <w:t>5</w:t>
      </w:r>
      <w:r>
        <w:rPr>
          <w:rFonts w:hint="eastAsia"/>
          <w:lang w:val="en-US"/>
        </w:rPr>
        <w:t>.甲方在项目验收结束后及时退还履约保证金。甲方在项目通过验收之日起   30 个工作日内将履约保证金无息退还乙方。</w:t>
      </w:r>
    </w:p>
    <w:p>
      <w:pPr>
        <w:pStyle w:val="7"/>
        <w:ind w:firstLine="480" w:firstLineChars="200"/>
        <w:rPr>
          <w:lang w:val="en-US"/>
        </w:rPr>
      </w:pPr>
      <w:r>
        <w:rPr>
          <w:lang w:val="en-US"/>
        </w:rPr>
        <w:t>6</w:t>
      </w:r>
      <w:r>
        <w:rPr>
          <w:rFonts w:hint="eastAsia"/>
          <w:lang w:val="en-US"/>
        </w:rPr>
        <w:t>.乙方提前完成合同约定内容且无任何遗留问题，双方可提前终止合同（按第二章合同一般条款中的合同中止、终止条款执行），甲方应在终止合同之后提前退还乙方履约保证金。</w:t>
      </w:r>
    </w:p>
    <w:bookmarkEnd w:id="392"/>
    <w:bookmarkEnd w:id="393"/>
    <w:bookmarkEnd w:id="394"/>
    <w:p>
      <w:pPr>
        <w:spacing w:line="360" w:lineRule="auto"/>
        <w:ind w:firstLine="482" w:firstLineChars="200"/>
        <w:rPr>
          <w:rFonts w:ascii="宋体" w:hAnsi="宋体" w:cs="宋体"/>
          <w:b/>
          <w:sz w:val="24"/>
        </w:rPr>
      </w:pPr>
      <w:r>
        <w:rPr>
          <w:rFonts w:hint="eastAsia" w:ascii="宋体" w:hAnsi="宋体" w:cs="宋体"/>
          <w:b/>
          <w:sz w:val="24"/>
        </w:rPr>
        <w:t>九、预付款</w:t>
      </w:r>
    </w:p>
    <w:p>
      <w:pPr>
        <w:pStyle w:val="24"/>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4"/>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4"/>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spacing w:line="360" w:lineRule="auto"/>
        <w:ind w:firstLine="482" w:firstLineChars="200"/>
        <w:rPr>
          <w:rFonts w:ascii="宋体" w:hAnsi="宋体" w:cs="宋体"/>
          <w:b/>
          <w:sz w:val="24"/>
        </w:rPr>
      </w:pPr>
      <w:r>
        <w:rPr>
          <w:rFonts w:hint="eastAsia" w:ascii="宋体" w:hAnsi="宋体" w:cs="宋体"/>
          <w:b/>
          <w:sz w:val="24"/>
        </w:rPr>
        <w:t>十、资金支付</w:t>
      </w:r>
    </w:p>
    <w:p>
      <w:pPr>
        <w:pStyle w:val="24"/>
        <w:spacing w:before="0" w:beforeAutospacing="0" w:after="0" w:afterAutospacing="0" w:line="360" w:lineRule="auto"/>
        <w:ind w:firstLine="480"/>
      </w:pPr>
      <w:bookmarkStart w:id="398" w:name="_Toc19304"/>
      <w:bookmarkStart w:id="399" w:name="_Toc32071"/>
      <w:bookmarkStart w:id="400" w:name="_Toc2846"/>
      <w:r>
        <w:rPr>
          <w:rFonts w:hint="eastAsia"/>
        </w:rPr>
        <w:t>1.甲方应严格履行合同，及时组织验收，验收合格后及时将合同款支付完毕。对于满足合同约定支付条件的，甲方自收到合格发票后</w:t>
      </w:r>
      <w:r>
        <w:rPr>
          <w:rFonts w:hint="eastAsia"/>
          <w:b/>
          <w:bCs/>
          <w:i/>
          <w:iCs/>
          <w:u w:val="single"/>
        </w:rPr>
        <w:t>30</w:t>
      </w:r>
      <w:r>
        <w:rPr>
          <w:rFonts w:hint="eastAsia"/>
        </w:rPr>
        <w:t>个工作日内将资金支付到合同约定的乙方账户。</w:t>
      </w:r>
    </w:p>
    <w:p>
      <w:pPr>
        <w:pStyle w:val="24"/>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     </w:t>
      </w:r>
      <w:r>
        <w:rPr>
          <w:rFonts w:hint="eastAsia" w:ascii="宋体" w:hAnsi="宋体" w:cs="宋体"/>
          <w:kern w:val="0"/>
          <w:sz w:val="24"/>
        </w:rPr>
        <w:t>；</w:t>
      </w:r>
    </w:p>
    <w:p>
      <w:pPr>
        <w:pStyle w:val="24"/>
        <w:spacing w:before="0" w:beforeAutospacing="0" w:after="0" w:afterAutospacing="0" w:line="360" w:lineRule="auto"/>
        <w:ind w:firstLine="480"/>
      </w:pPr>
      <w:r>
        <w:rPr>
          <w:rFonts w:hint="eastAsia"/>
        </w:rPr>
        <w:t>（2）质保金的比例为合同金额的</w:t>
      </w:r>
      <w:r>
        <w:rPr>
          <w:rFonts w:hint="eastAsia"/>
          <w:u w:val="single"/>
        </w:rPr>
        <w:t xml:space="preserve">  /  </w:t>
      </w:r>
      <w:r>
        <w:rPr>
          <w:rFonts w:hint="eastAsia"/>
        </w:rPr>
        <w:t>%；</w:t>
      </w:r>
    </w:p>
    <w:p>
      <w:pPr>
        <w:pStyle w:val="24"/>
        <w:spacing w:before="0" w:beforeAutospacing="0" w:after="0" w:afterAutospacing="0" w:line="360" w:lineRule="auto"/>
        <w:ind w:firstLine="480"/>
      </w:pPr>
      <w:r>
        <w:rPr>
          <w:rFonts w:hint="eastAsia"/>
        </w:rPr>
        <w:t>（3）质保金支付条件：</w:t>
      </w:r>
      <w:r>
        <w:rPr>
          <w:rFonts w:hint="eastAsia"/>
          <w:u w:val="single"/>
        </w:rPr>
        <w:t>质保期内无任何质量问题，双方无任何遗留问题 ，质保期结束后30天内甲方无息支付</w:t>
      </w:r>
      <w:r>
        <w:rPr>
          <w:rFonts w:hint="eastAsia"/>
        </w:rPr>
        <w:t>。</w:t>
      </w:r>
    </w:p>
    <w:p>
      <w:pPr>
        <w:pStyle w:val="24"/>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w:t>
      </w:r>
      <w:r>
        <w:rPr>
          <w:u w:val="single"/>
        </w:rPr>
        <w:t>1</w:t>
      </w:r>
      <w:r>
        <w:rPr>
          <w:rFonts w:hint="eastAsia"/>
          <w:u w:val="single"/>
        </w:rPr>
        <w:t xml:space="preserve">）   </w:t>
      </w:r>
      <w:r>
        <w:rPr>
          <w:rFonts w:hint="eastAsia"/>
        </w:rPr>
        <w:t>条款规定：</w:t>
      </w:r>
    </w:p>
    <w:p>
      <w:pPr>
        <w:pStyle w:val="24"/>
        <w:spacing w:before="0" w:beforeAutospacing="0" w:after="0" w:afterAutospacing="0" w:line="360" w:lineRule="auto"/>
        <w:ind w:firstLine="480"/>
        <w:rPr>
          <w:rFonts w:hint="default" w:eastAsiaTheme="minorEastAsia"/>
          <w:color w:val="auto"/>
          <w:u w:val="single"/>
          <w:lang w:val="en-US" w:eastAsia="zh-CN"/>
        </w:rPr>
      </w:pPr>
      <w:r>
        <w:rPr>
          <w:rFonts w:hint="eastAsia"/>
          <w:u w:val="single"/>
        </w:rPr>
        <w:t>（1） 按月支</w:t>
      </w:r>
      <w:r>
        <w:rPr>
          <w:rFonts w:hint="eastAsia"/>
          <w:color w:val="auto"/>
          <w:u w:val="single"/>
        </w:rPr>
        <w:t>付，本月</w:t>
      </w:r>
      <w:r>
        <w:rPr>
          <w:rFonts w:hint="eastAsia"/>
          <w:color w:val="auto"/>
          <w:u w:val="single"/>
          <w:lang w:val="en-US" w:eastAsia="zh-CN"/>
        </w:rPr>
        <w:t>验收合格的</w:t>
      </w:r>
      <w:r>
        <w:rPr>
          <w:rFonts w:hint="eastAsia"/>
          <w:color w:val="auto"/>
          <w:u w:val="single"/>
        </w:rPr>
        <w:t>货款次月结算，甲方收到乙方提供的增值税专用发票后，甲方在本合同约定时间内完成支付 ；</w:t>
      </w:r>
      <w:r>
        <w:rPr>
          <w:rFonts w:hint="eastAsia"/>
          <w:color w:val="auto"/>
          <w:u w:val="single"/>
          <w:lang w:val="en-US" w:eastAsia="zh-CN"/>
        </w:rPr>
        <w:t>未验收合格的，货款不予支付，乙方按本合同约定承担违约责任；</w:t>
      </w:r>
    </w:p>
    <w:p>
      <w:pPr>
        <w:pStyle w:val="24"/>
        <w:spacing w:before="0" w:beforeAutospacing="0" w:after="0" w:afterAutospacing="0" w:line="360" w:lineRule="auto"/>
        <w:ind w:firstLine="480"/>
      </w:pPr>
      <w:r>
        <w:rPr>
          <w:rFonts w:hint="eastAsia"/>
        </w:rPr>
        <w:t>（2）按季度支付，本季度货款次季度结算，甲方收到乙方提供的增值税专用发票后，甲方在本合同约定时间内完成支付 ；</w:t>
      </w:r>
    </w:p>
    <w:p>
      <w:pPr>
        <w:pStyle w:val="24"/>
        <w:spacing w:before="0" w:beforeAutospacing="0" w:after="0" w:afterAutospacing="0" w:line="360" w:lineRule="auto"/>
        <w:ind w:firstLine="480"/>
      </w:pPr>
      <w:r>
        <w:rPr>
          <w:rFonts w:hint="eastAsia"/>
        </w:rPr>
        <w:t xml:space="preserve">（3）一次性付款，经甲方验收合格后，甲方收到乙方提供的增值税专用发票后，甲方在本合同约定时间内完成支付。  </w:t>
      </w:r>
    </w:p>
    <w:p>
      <w:pPr>
        <w:pStyle w:val="24"/>
        <w:spacing w:before="0" w:beforeAutospacing="0" w:after="0" w:afterAutospacing="0" w:line="360" w:lineRule="auto"/>
        <w:ind w:firstLine="480" w:firstLineChars="200"/>
        <w:rPr>
          <w:b/>
          <w:kern w:val="2"/>
        </w:rPr>
      </w:pPr>
      <w:r>
        <w:rPr>
          <w:rFonts w:hint="eastAsia"/>
        </w:rPr>
        <w:t>（4）其他付款方式：</w:t>
      </w:r>
      <w:r>
        <w:rPr>
          <w:rFonts w:hint="eastAsia"/>
          <w:b/>
          <w:kern w:val="2"/>
          <w:u w:val="single"/>
        </w:rPr>
        <w:t xml:space="preserve">      </w:t>
      </w:r>
      <w:r>
        <w:rPr>
          <w:rFonts w:hint="eastAsia"/>
          <w:b/>
          <w:kern w:val="2"/>
          <w:u w:val="single"/>
          <w:lang w:val="en-US" w:eastAsia="zh-CN"/>
        </w:rPr>
        <w:t>/</w:t>
      </w:r>
      <w:r>
        <w:rPr>
          <w:rFonts w:hint="eastAsia"/>
          <w:b/>
          <w:kern w:val="2"/>
          <w:u w:val="single"/>
        </w:rPr>
        <w:t xml:space="preserve">   </w:t>
      </w:r>
      <w:r>
        <w:rPr>
          <w:rFonts w:hint="eastAsia"/>
          <w:b/>
          <w:kern w:val="2"/>
        </w:rPr>
        <w:t xml:space="preserve"> 。         </w:t>
      </w:r>
    </w:p>
    <w:bookmarkEnd w:id="398"/>
    <w:bookmarkEnd w:id="399"/>
    <w:bookmarkEnd w:id="400"/>
    <w:p>
      <w:pPr>
        <w:spacing w:line="360" w:lineRule="auto"/>
        <w:ind w:firstLine="482" w:firstLineChars="200"/>
        <w:rPr>
          <w:rFonts w:ascii="宋体" w:hAnsi="宋体" w:cs="宋体"/>
          <w:b/>
          <w:sz w:val="24"/>
        </w:rPr>
      </w:pPr>
      <w:bookmarkStart w:id="401" w:name="_Toc27250"/>
      <w:bookmarkStart w:id="402" w:name="_Toc19554"/>
      <w:bookmarkStart w:id="403" w:name="_Toc21423"/>
      <w:r>
        <w:rPr>
          <w:rFonts w:hint="eastAsia" w:ascii="宋体" w:hAnsi="宋体" w:cs="宋体"/>
          <w:b/>
          <w:sz w:val="24"/>
        </w:rPr>
        <w:t>十一、违约责任</w:t>
      </w:r>
      <w:bookmarkEnd w:id="401"/>
      <w:bookmarkEnd w:id="402"/>
      <w:bookmarkEnd w:id="403"/>
    </w:p>
    <w:p>
      <w:pPr>
        <w:spacing w:line="360" w:lineRule="auto"/>
        <w:ind w:firstLine="480" w:firstLineChars="200"/>
        <w:rPr>
          <w:rFonts w:ascii="宋体" w:hAnsi="宋体" w:cs="宋体"/>
          <w:sz w:val="24"/>
        </w:rPr>
      </w:pPr>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%计算，迟延交付货物</w:t>
      </w:r>
      <w:r>
        <w:rPr>
          <w:rFonts w:ascii="宋体" w:hAnsi="宋体" w:cs="宋体"/>
          <w:sz w:val="24"/>
        </w:rPr>
        <w:t>30</w:t>
      </w:r>
      <w:r>
        <w:rPr>
          <w:rFonts w:hint="eastAsia" w:ascii="宋体" w:hAnsi="宋体" w:cs="宋体"/>
          <w:sz w:val="24"/>
        </w:rPr>
        <w:t>天的，甲方有权单方解除本合同，并要求乙方一次性承担（</w:t>
      </w:r>
      <w:r>
        <w:rPr>
          <w:rFonts w:ascii="宋体" w:hAnsi="宋体" w:cs="宋体"/>
          <w:sz w:val="24"/>
        </w:rPr>
        <w:sym w:font="Wingdings" w:char="00A8"/>
      </w:r>
      <w:r>
        <w:rPr>
          <w:rFonts w:hint="eastAsia" w:ascii="宋体" w:hAnsi="宋体" w:cs="宋体"/>
          <w:sz w:val="24"/>
        </w:rPr>
        <w:t>本合同累计已发生金额/</w:t>
      </w:r>
      <w:r>
        <w:rPr>
          <w:rFonts w:ascii="宋体" w:hAnsi="宋体" w:cs="宋体"/>
          <w:sz w:val="24"/>
        </w:rPr>
        <w:sym w:font="Wingdings" w:char="00FE"/>
      </w:r>
      <w:r>
        <w:rPr>
          <w:rFonts w:hint="eastAsia" w:ascii="宋体" w:hAnsi="宋体" w:cs="宋体"/>
          <w:sz w:val="24"/>
        </w:rPr>
        <w:t>合同约定总金额）30%的违约；</w:t>
      </w:r>
    </w:p>
    <w:p>
      <w:pPr>
        <w:spacing w:line="360" w:lineRule="auto"/>
        <w:ind w:firstLine="480" w:firstLineChars="200"/>
        <w:rPr>
          <w:rFonts w:ascii="宋体" w:hAnsi="宋体" w:cs="宋体"/>
          <w:sz w:val="24"/>
        </w:rPr>
      </w:pPr>
      <w:r>
        <w:rPr>
          <w:rFonts w:hint="eastAsia" w:ascii="宋体" w:hAnsi="宋体" w:cs="宋体"/>
          <w:sz w:val="24"/>
        </w:rPr>
        <w:t>2. 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%计算，迟延付款</w:t>
      </w:r>
      <w:r>
        <w:rPr>
          <w:rFonts w:ascii="宋体" w:hAnsi="宋体" w:cs="宋体"/>
          <w:sz w:val="24"/>
        </w:rPr>
        <w:t>30</w:t>
      </w:r>
      <w:r>
        <w:rPr>
          <w:rFonts w:hint="eastAsia" w:ascii="宋体" w:hAnsi="宋体" w:cs="宋体"/>
          <w:sz w:val="24"/>
        </w:rPr>
        <w:t>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rPr>
      </w:pPr>
      <w:r>
        <w:rPr>
          <w:rFonts w:hint="eastAsia" w:ascii="宋体" w:hAnsi="宋体" w:cs="宋体"/>
          <w:sz w:val="24"/>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rPr>
      </w:pPr>
      <w:r>
        <w:rPr>
          <w:rFonts w:hint="eastAsia" w:ascii="宋体" w:hAnsi="宋体" w:cs="宋体"/>
          <w:sz w:val="24"/>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rPr>
      </w:pPr>
      <w:r>
        <w:rPr>
          <w:rFonts w:hint="eastAsia" w:ascii="宋体" w:hAnsi="宋体" w:cs="宋体"/>
          <w:sz w:val="24"/>
        </w:rPr>
        <w:t>（3）甲方无故拒收货物，乙方有权要求甲方按照合同原价支付货款  。</w:t>
      </w:r>
    </w:p>
    <w:p>
      <w:pPr>
        <w:spacing w:line="360" w:lineRule="auto"/>
        <w:ind w:right="-420" w:rightChars="-200" w:firstLine="480" w:firstLineChars="200"/>
      </w:pPr>
      <w:r>
        <w:rPr>
          <w:rFonts w:hint="eastAsia" w:ascii="宋体" w:hAnsi="宋体" w:cs="宋体"/>
          <w:sz w:val="24"/>
        </w:rPr>
        <w:t>（4）若质保期内出现质量问题，甲方有权从质保金中扣除违约金，同时乙方应免费维修或更换。</w:t>
      </w:r>
    </w:p>
    <w:p>
      <w:pPr>
        <w:spacing w:line="360" w:lineRule="auto"/>
        <w:ind w:firstLine="482" w:firstLineChars="200"/>
        <w:rPr>
          <w:rFonts w:ascii="宋体" w:hAnsi="宋体" w:cs="宋体"/>
          <w:b/>
          <w:sz w:val="24"/>
        </w:rPr>
      </w:pPr>
      <w:bookmarkStart w:id="404" w:name="_Toc15583"/>
      <w:bookmarkStart w:id="405" w:name="_Toc28375"/>
      <w:bookmarkStart w:id="406" w:name="_Toc16021"/>
      <w:r>
        <w:rPr>
          <w:rFonts w:hint="eastAsia" w:ascii="宋体" w:hAnsi="宋体" w:cs="宋体"/>
          <w:b/>
          <w:sz w:val="24"/>
        </w:rPr>
        <w:t>十二、合同争议的解决</w:t>
      </w:r>
      <w:bookmarkEnd w:id="404"/>
      <w:bookmarkEnd w:id="405"/>
      <w:bookmarkEnd w:id="406"/>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2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bookmarkStart w:id="407" w:name="_Toc15322"/>
      <w:bookmarkStart w:id="408" w:name="_Toc11173"/>
      <w:bookmarkStart w:id="409" w:name="_Toc7245"/>
      <w:r>
        <w:rPr>
          <w:rFonts w:hint="eastAsia" w:ascii="宋体" w:hAnsi="宋体" w:cs="宋体"/>
          <w:sz w:val="24"/>
        </w:rPr>
        <w:t>1. 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7"/>
    <w:bookmarkEnd w:id="408"/>
    <w:bookmarkEnd w:id="409"/>
    <w:p>
      <w:pPr>
        <w:spacing w:line="360" w:lineRule="auto"/>
        <w:ind w:firstLine="482" w:firstLineChars="200"/>
        <w:rPr>
          <w:rFonts w:ascii="宋体" w:hAnsi="宋体" w:cs="宋体"/>
          <w:b/>
          <w:sz w:val="24"/>
        </w:rPr>
      </w:pPr>
      <w:r>
        <w:rPr>
          <w:rFonts w:hint="eastAsia" w:ascii="宋体" w:hAnsi="宋体" w:cs="宋体"/>
          <w:b/>
          <w:sz w:val="24"/>
        </w:rPr>
        <w:t>十三、合同生效</w:t>
      </w:r>
    </w:p>
    <w:p>
      <w:pPr>
        <w:pStyle w:val="23"/>
        <w:ind w:left="0" w:leftChars="0"/>
        <w:jc w:val="left"/>
        <w:rPr>
          <w:rFonts w:ascii="宋体" w:hAnsi="宋体"/>
          <w:b/>
          <w:szCs w:val="24"/>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、第三章廉洁协议为本合同不可分割的一部分，</w:t>
      </w:r>
      <w:r>
        <w:rPr>
          <w:rFonts w:ascii="宋体" w:hAnsi="宋体"/>
        </w:rPr>
        <w:t>均具有同等法律效力</w:t>
      </w:r>
      <w:r>
        <w:rPr>
          <w:rFonts w:hint="eastAsia" w:ascii="宋体" w:hAnsi="宋体"/>
        </w:rPr>
        <w:t>。</w:t>
      </w:r>
    </w:p>
    <w:p>
      <w:pPr>
        <w:rPr>
          <w:rFonts w:hint="eastAsia" w:ascii="宋体" w:hAnsi="宋体" w:cs="宋体"/>
          <w:b/>
          <w:szCs w:val="24"/>
        </w:rPr>
      </w:pPr>
      <w:r>
        <w:rPr>
          <w:rFonts w:hint="eastAsia" w:ascii="宋体" w:hAnsi="宋体" w:cs="宋体"/>
          <w:b/>
          <w:szCs w:val="24"/>
        </w:rPr>
        <w:br w:type="page"/>
      </w:r>
    </w:p>
    <w:p>
      <w:pPr>
        <w:pStyle w:val="23"/>
        <w:ind w:left="0" w:leftChars="0" w:firstLine="0" w:firstLineChars="0"/>
        <w:jc w:val="center"/>
        <w:outlineLvl w:val="0"/>
        <w:rPr>
          <w:rFonts w:ascii="宋体" w:hAnsi="宋体" w:cs="宋体"/>
          <w:b/>
          <w:szCs w:val="24"/>
        </w:rPr>
      </w:pPr>
      <w:bookmarkStart w:id="410" w:name="_Toc17221"/>
      <w:r>
        <w:rPr>
          <w:rFonts w:hint="eastAsia" w:ascii="宋体" w:hAnsi="宋体" w:cs="宋体"/>
          <w:b/>
          <w:szCs w:val="24"/>
        </w:rPr>
        <w:t>第二章 合同一般条款</w:t>
      </w:r>
      <w:bookmarkEnd w:id="410"/>
    </w:p>
    <w:p>
      <w:pPr>
        <w:spacing w:line="360" w:lineRule="auto"/>
        <w:ind w:firstLine="482" w:firstLineChars="200"/>
        <w:rPr>
          <w:rFonts w:ascii="宋体" w:hAnsi="宋体" w:cs="宋体"/>
          <w:b/>
          <w:sz w:val="24"/>
        </w:rPr>
      </w:pPr>
      <w:bookmarkStart w:id="411" w:name="_Ref467378499"/>
      <w:bookmarkStart w:id="412" w:name="_Ref467379214"/>
      <w:bookmarkStart w:id="413" w:name="_Ref467379225"/>
      <w:bookmarkStart w:id="414" w:name="_Toc16917"/>
      <w:bookmarkStart w:id="415" w:name="_Ref467378463"/>
      <w:bookmarkStart w:id="416" w:name="_Toc259093669"/>
      <w:bookmarkStart w:id="417" w:name="_Ref467379195"/>
      <w:bookmarkStart w:id="418" w:name="_Ref467379109"/>
      <w:bookmarkStart w:id="419" w:name="_Toc28763"/>
      <w:bookmarkStart w:id="420" w:name="_Toc19614"/>
      <w:bookmarkStart w:id="421" w:name="_Toc279701240"/>
      <w:bookmarkStart w:id="422" w:name="_Ref467379101"/>
      <w:bookmarkStart w:id="423" w:name="_Ref467379205"/>
      <w:bookmarkStart w:id="424" w:name="_Toc487900349"/>
      <w:bookmarkStart w:id="425" w:name="_Ref467378404"/>
      <w:bookmarkStart w:id="426" w:name="_Ref467379094"/>
      <w:r>
        <w:rPr>
          <w:rFonts w:hint="eastAsia" w:ascii="宋体" w:hAnsi="宋体" w:cs="宋体"/>
          <w:b/>
          <w:sz w:val="24"/>
        </w:rPr>
        <w:t>一、 定义</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7" w:name="_Ref467378840"/>
      <w:r>
        <w:rPr>
          <w:rFonts w:hint="eastAsia" w:ascii="宋体" w:hAnsi="宋体" w:cs="宋体"/>
          <w:sz w:val="24"/>
        </w:rPr>
        <w:t>4.“甲方”系指与中标或成交供应商签署合同的采购人</w:t>
      </w:r>
      <w:bookmarkEnd w:id="427"/>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8" w:name="_Ref467379400"/>
      <w:r>
        <w:rPr>
          <w:rFonts w:hint="eastAsia" w:ascii="宋体" w:hAnsi="宋体" w:cs="宋体"/>
          <w:sz w:val="24"/>
        </w:rPr>
        <w:t>5.“乙方”系指根据合同约定交付货物的中标或成交供应商</w:t>
      </w:r>
      <w:bookmarkEnd w:id="428"/>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9" w:name="_Ref467379436"/>
      <w:r>
        <w:rPr>
          <w:rFonts w:hint="eastAsia" w:ascii="宋体" w:hAnsi="宋体" w:cs="宋体"/>
          <w:sz w:val="24"/>
        </w:rPr>
        <w:t>6.“现场”系指合同约定货物将要运至或者安装的地点。</w:t>
      </w:r>
      <w:bookmarkEnd w:id="429"/>
    </w:p>
    <w:p>
      <w:pPr>
        <w:spacing w:line="360" w:lineRule="auto"/>
        <w:ind w:firstLine="482" w:firstLineChars="200"/>
        <w:rPr>
          <w:rFonts w:ascii="宋体" w:hAnsi="宋体" w:cs="宋体"/>
          <w:b/>
          <w:sz w:val="24"/>
        </w:rPr>
      </w:pPr>
      <w:bookmarkStart w:id="430" w:name="_Toc13336"/>
      <w:bookmarkStart w:id="431" w:name="_Toc279701241"/>
      <w:bookmarkStart w:id="432" w:name="_Toc27635"/>
      <w:bookmarkStart w:id="433" w:name="_Toc259093670"/>
      <w:bookmarkStart w:id="434" w:name="_Toc32504"/>
      <w:bookmarkStart w:id="435" w:name="_Toc487900350"/>
      <w:r>
        <w:rPr>
          <w:rFonts w:hint="eastAsia" w:ascii="宋体" w:hAnsi="宋体" w:cs="宋体"/>
          <w:b/>
          <w:sz w:val="24"/>
        </w:rPr>
        <w:t>二、技术规范</w:t>
      </w:r>
      <w:bookmarkEnd w:id="430"/>
      <w:bookmarkEnd w:id="431"/>
      <w:bookmarkEnd w:id="432"/>
      <w:bookmarkEnd w:id="433"/>
      <w:bookmarkEnd w:id="434"/>
      <w:bookmarkEnd w:id="435"/>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w:t>
      </w:r>
      <w:r>
        <w:rPr>
          <w:rFonts w:hint="eastAsia" w:ascii="宋体" w:hAnsi="宋体" w:cs="宋体"/>
          <w:sz w:val="24"/>
          <w:lang w:eastAsia="zh-CN"/>
        </w:rPr>
        <w:t>（</w:t>
      </w:r>
      <w:r>
        <w:rPr>
          <w:rFonts w:hint="eastAsia" w:ascii="宋体" w:hAnsi="宋体" w:cs="宋体"/>
          <w:sz w:val="24"/>
        </w:rPr>
        <w:t>如果有的话</w:t>
      </w:r>
      <w:r>
        <w:rPr>
          <w:rFonts w:hint="eastAsia" w:ascii="宋体" w:hAnsi="宋体" w:cs="宋体"/>
          <w:sz w:val="24"/>
          <w:lang w:eastAsia="zh-CN"/>
        </w:rPr>
        <w:t>）</w:t>
      </w:r>
      <w:r>
        <w:rPr>
          <w:rFonts w:hint="eastAsia" w:ascii="宋体" w:hAnsi="宋体" w:cs="宋体"/>
          <w:sz w:val="24"/>
        </w:rPr>
        <w:t>及其技术规范偏差表</w:t>
      </w:r>
      <w:r>
        <w:rPr>
          <w:rFonts w:hint="eastAsia" w:ascii="宋体" w:hAnsi="宋体" w:cs="宋体"/>
          <w:sz w:val="24"/>
          <w:lang w:eastAsia="zh-CN"/>
        </w:rPr>
        <w:t>（</w:t>
      </w:r>
      <w:r>
        <w:rPr>
          <w:rFonts w:hint="eastAsia" w:ascii="宋体" w:hAnsi="宋体" w:cs="宋体"/>
          <w:sz w:val="24"/>
        </w:rPr>
        <w:t>如果被甲方接受的话</w:t>
      </w:r>
      <w:r>
        <w:rPr>
          <w:rFonts w:hint="eastAsia" w:ascii="宋体" w:hAnsi="宋体" w:cs="宋体"/>
          <w:sz w:val="24"/>
          <w:lang w:eastAsia="zh-CN"/>
        </w:rPr>
        <w:t>）</w:t>
      </w:r>
      <w:r>
        <w:rPr>
          <w:rFonts w:hint="eastAsia" w:ascii="宋体" w:hAnsi="宋体" w:cs="宋体"/>
          <w:sz w:val="24"/>
        </w:rPr>
        <w:t>相一致；如果采购文件中没有技术规范的相应说明，那么应以国家有关部门最新颁布的相应标准和规范为准。</w:t>
      </w:r>
    </w:p>
    <w:p>
      <w:pPr>
        <w:spacing w:line="360" w:lineRule="auto"/>
        <w:ind w:firstLine="482" w:firstLineChars="200"/>
        <w:rPr>
          <w:rFonts w:ascii="宋体" w:hAnsi="宋体" w:cs="宋体"/>
          <w:b/>
          <w:sz w:val="24"/>
        </w:rPr>
      </w:pPr>
      <w:bookmarkStart w:id="436" w:name="_Toc27853"/>
      <w:bookmarkStart w:id="437" w:name="_Toc259093671"/>
      <w:bookmarkStart w:id="438" w:name="_Toc279701242"/>
      <w:bookmarkStart w:id="439" w:name="_Toc9829"/>
      <w:bookmarkStart w:id="440" w:name="_Toc487900351"/>
      <w:bookmarkStart w:id="441" w:name="_Toc31634"/>
      <w:r>
        <w:rPr>
          <w:rFonts w:hint="eastAsia" w:ascii="宋体" w:hAnsi="宋体" w:cs="宋体"/>
          <w:b/>
          <w:sz w:val="24"/>
        </w:rPr>
        <w:t>三、知识产权</w:t>
      </w:r>
      <w:bookmarkEnd w:id="436"/>
      <w:bookmarkEnd w:id="437"/>
      <w:bookmarkEnd w:id="438"/>
      <w:bookmarkEnd w:id="439"/>
      <w:bookmarkEnd w:id="440"/>
      <w:bookmarkEnd w:id="441"/>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rPr>
          <w:rFonts w:ascii="宋体" w:hAnsi="宋体" w:eastAsia="宋体" w:cs="宋体"/>
          <w:b/>
          <w:sz w:val="24"/>
        </w:rPr>
      </w:pPr>
      <w:bookmarkStart w:id="442" w:name="_Toc4194"/>
      <w:bookmarkStart w:id="443" w:name="_Toc29149"/>
      <w:bookmarkStart w:id="444" w:name="_Toc11932"/>
      <w:r>
        <w:rPr>
          <w:rFonts w:hint="eastAsia" w:ascii="宋体" w:hAnsi="宋体" w:cs="宋体"/>
          <w:b/>
          <w:sz w:val="24"/>
        </w:rPr>
        <w:t>四、装运包装</w:t>
      </w:r>
      <w:bookmarkEnd w:id="442"/>
      <w:bookmarkEnd w:id="443"/>
      <w:bookmarkEnd w:id="444"/>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w:t>
      </w:r>
      <w:r>
        <w:rPr>
          <w:rFonts w:hint="eastAsia" w:ascii="宋体" w:hAnsi="宋体" w:cs="宋体"/>
          <w:sz w:val="24"/>
          <w:lang w:eastAsia="zh-CN"/>
        </w:rPr>
        <w:t>，</w:t>
      </w:r>
      <w:r>
        <w:rPr>
          <w:rFonts w:hint="eastAsia" w:ascii="宋体" w:hAnsi="宋体" w:cs="宋体"/>
          <w:sz w:val="24"/>
        </w:rPr>
        <w:t>乙方交付的全部货物</w:t>
      </w:r>
      <w:r>
        <w:rPr>
          <w:rFonts w:hint="eastAsia" w:ascii="宋体" w:hAnsi="宋体" w:cs="宋体"/>
          <w:sz w:val="24"/>
          <w:lang w:eastAsia="zh-CN"/>
        </w:rPr>
        <w:t>，</w:t>
      </w:r>
      <w:r>
        <w:rPr>
          <w:rFonts w:hint="eastAsia" w:ascii="宋体" w:hAnsi="宋体" w:cs="宋体"/>
          <w:sz w:val="24"/>
        </w:rPr>
        <w:t>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（1）乙方送货每批物资必须要附甲方采购订单、送货单、合格证或者检测报告，否则甲方有权拒收；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rPr>
          <w:rFonts w:ascii="宋体" w:hAnsi="宋体" w:cs="宋体"/>
          <w:b/>
          <w:sz w:val="24"/>
        </w:rPr>
      </w:pPr>
      <w:bookmarkStart w:id="445" w:name="_Toc30272"/>
      <w:bookmarkStart w:id="446" w:name="_Toc19074"/>
      <w:bookmarkStart w:id="447" w:name="_Toc26182"/>
      <w:r>
        <w:rPr>
          <w:rFonts w:hint="eastAsia" w:ascii="宋体" w:hAnsi="宋体" w:cs="宋体"/>
          <w:b/>
          <w:sz w:val="24"/>
        </w:rPr>
        <w:t>五、 履约检查和问题反馈</w:t>
      </w:r>
      <w:bookmarkEnd w:id="445"/>
      <w:bookmarkEnd w:id="446"/>
      <w:bookmarkEnd w:id="447"/>
    </w:p>
    <w:p>
      <w:pPr>
        <w:spacing w:line="360" w:lineRule="auto"/>
        <w:ind w:firstLine="480" w:firstLineChars="200"/>
        <w:rPr>
          <w:rFonts w:ascii="宋体" w:hAnsi="宋体" w:cs="宋体"/>
          <w:sz w:val="24"/>
        </w:rPr>
      </w:pPr>
      <w:bookmarkStart w:id="448" w:name="_Toc186431854"/>
      <w:bookmarkStart w:id="449" w:name="_Toc487900357"/>
      <w:bookmarkStart w:id="450" w:name="_Ref467379793"/>
      <w:bookmarkStart w:id="451" w:name="_Ref467379807"/>
      <w:bookmarkStart w:id="452" w:name="_Toc259093676"/>
      <w:bookmarkStart w:id="453" w:name="_Toc279701247"/>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8"/>
      <w:bookmarkStart w:id="454" w:name="_Toc186431855"/>
      <w:r>
        <w:rPr>
          <w:rFonts w:hint="eastAsia" w:ascii="宋体" w:hAnsi="宋体" w:cs="宋体"/>
          <w:sz w:val="24"/>
        </w:rPr>
        <w:t>。</w:t>
      </w:r>
    </w:p>
    <w:bookmarkEnd w:id="449"/>
    <w:bookmarkEnd w:id="450"/>
    <w:bookmarkEnd w:id="451"/>
    <w:bookmarkEnd w:id="452"/>
    <w:bookmarkEnd w:id="453"/>
    <w:bookmarkEnd w:id="454"/>
    <w:p>
      <w:pPr>
        <w:spacing w:line="360" w:lineRule="auto"/>
        <w:ind w:firstLine="482" w:firstLineChars="200"/>
        <w:rPr>
          <w:rFonts w:ascii="宋体" w:hAnsi="宋体" w:cs="宋体"/>
          <w:b/>
          <w:sz w:val="24"/>
        </w:rPr>
      </w:pPr>
      <w:bookmarkStart w:id="455" w:name="_Toc487900358"/>
      <w:bookmarkStart w:id="456" w:name="_Toc279701248"/>
      <w:bookmarkStart w:id="457" w:name="_Ref467379863"/>
      <w:bookmarkStart w:id="458" w:name="_Ref467379923"/>
      <w:bookmarkStart w:id="459" w:name="_Toc259093677"/>
      <w:bookmarkStart w:id="460" w:name="_Ref467379852"/>
      <w:bookmarkStart w:id="461" w:name="_Toc3225"/>
      <w:bookmarkStart w:id="462" w:name="_Toc774"/>
      <w:bookmarkStart w:id="463" w:name="_Toc16110"/>
      <w:r>
        <w:rPr>
          <w:rFonts w:hint="eastAsia" w:ascii="宋体" w:hAnsi="宋体" w:cs="宋体"/>
          <w:b/>
          <w:sz w:val="24"/>
        </w:rPr>
        <w:t>六、技术资料</w:t>
      </w:r>
      <w:bookmarkEnd w:id="455"/>
      <w:bookmarkEnd w:id="456"/>
      <w:bookmarkEnd w:id="457"/>
      <w:bookmarkEnd w:id="458"/>
      <w:bookmarkEnd w:id="459"/>
      <w:bookmarkEnd w:id="460"/>
      <w:r>
        <w:rPr>
          <w:rFonts w:hint="eastAsia" w:ascii="宋体" w:hAnsi="宋体" w:cs="宋体"/>
          <w:b/>
          <w:sz w:val="24"/>
        </w:rPr>
        <w:t>和保密义务</w:t>
      </w:r>
      <w:bookmarkEnd w:id="461"/>
      <w:bookmarkEnd w:id="462"/>
      <w:bookmarkEnd w:id="463"/>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rPr>
          <w:rFonts w:ascii="宋体" w:hAnsi="宋体" w:cs="宋体"/>
          <w:b/>
          <w:sz w:val="24"/>
        </w:rPr>
      </w:pPr>
      <w:bookmarkStart w:id="464" w:name="_Toc7860"/>
      <w:r>
        <w:rPr>
          <w:rFonts w:hint="eastAsia" w:ascii="宋体" w:hAnsi="宋体" w:cs="宋体"/>
          <w:b/>
          <w:sz w:val="24"/>
        </w:rPr>
        <w:t>七、质量保证</w:t>
      </w:r>
      <w:bookmarkEnd w:id="464"/>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rPr>
          <w:rFonts w:ascii="宋体" w:hAnsi="宋体" w:cs="宋体"/>
          <w:b/>
          <w:sz w:val="24"/>
        </w:rPr>
      </w:pPr>
      <w:bookmarkStart w:id="465" w:name="_Toc17244"/>
      <w:bookmarkStart w:id="466" w:name="_Toc279701252"/>
      <w:bookmarkStart w:id="467" w:name="_Toc487900362"/>
      <w:bookmarkStart w:id="468" w:name="_Toc259093681"/>
      <w:r>
        <w:rPr>
          <w:rFonts w:hint="eastAsia" w:ascii="宋体" w:hAnsi="宋体" w:cs="宋体"/>
          <w:b/>
          <w:sz w:val="24"/>
        </w:rPr>
        <w:t>八、货物的风险负担</w:t>
      </w:r>
      <w:bookmarkEnd w:id="465"/>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rPr>
          <w:rFonts w:ascii="宋体" w:hAnsi="宋体" w:cs="宋体"/>
          <w:b/>
          <w:sz w:val="24"/>
        </w:rPr>
      </w:pPr>
      <w:bookmarkStart w:id="469" w:name="_Toc14055"/>
      <w:r>
        <w:rPr>
          <w:rFonts w:hint="eastAsia" w:ascii="宋体" w:hAnsi="宋体" w:cs="宋体"/>
          <w:b/>
          <w:sz w:val="24"/>
        </w:rPr>
        <w:t>九、延迟交货</w:t>
      </w:r>
      <w:bookmarkEnd w:id="466"/>
      <w:bookmarkEnd w:id="467"/>
      <w:bookmarkEnd w:id="468"/>
      <w:bookmarkEnd w:id="469"/>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rPr>
          <w:rFonts w:ascii="宋体" w:hAnsi="宋体" w:eastAsia="宋体" w:cs="宋体"/>
          <w:b/>
          <w:sz w:val="24"/>
        </w:rPr>
      </w:pPr>
      <w:bookmarkStart w:id="470" w:name="_Toc7502"/>
      <w:bookmarkStart w:id="471" w:name="_Ref467378121"/>
      <w:bookmarkStart w:id="472" w:name="_Toc487900364"/>
      <w:bookmarkStart w:id="473" w:name="_Toc259093683"/>
      <w:bookmarkStart w:id="474" w:name="_Toc279701254"/>
      <w:r>
        <w:rPr>
          <w:rFonts w:hint="eastAsia" w:ascii="宋体" w:hAnsi="宋体" w:cs="宋体"/>
          <w:b/>
          <w:sz w:val="24"/>
        </w:rPr>
        <w:t>十、合同变更</w:t>
      </w:r>
      <w:bookmarkEnd w:id="470"/>
      <w:r>
        <w:rPr>
          <w:rFonts w:hint="eastAsia" w:ascii="宋体" w:hAnsi="宋体" w:cs="宋体"/>
          <w:b/>
          <w:sz w:val="24"/>
        </w:rPr>
        <w:t>或补充</w:t>
      </w:r>
    </w:p>
    <w:p>
      <w:pPr>
        <w:spacing w:line="360" w:lineRule="auto"/>
        <w:ind w:firstLine="480" w:firstLineChars="200"/>
        <w:rPr>
          <w:rFonts w:ascii="宋体" w:hAnsi="宋体"/>
          <w:sz w:val="24"/>
        </w:rPr>
      </w:pPr>
      <w:bookmarkStart w:id="475" w:name="_Toc259093688"/>
      <w:bookmarkStart w:id="476" w:name="_Toc279701259"/>
      <w:bookmarkStart w:id="477" w:name="_Toc487900369"/>
      <w:bookmarkStart w:id="478" w:name="_Toc22955"/>
      <w:bookmarkStart w:id="479" w:name="_Toc15237"/>
      <w:bookmarkStart w:id="480" w:name="_Toc10366"/>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rPr>
          <w:rFonts w:ascii="宋体" w:hAnsi="宋体" w:cs="宋体"/>
          <w:b/>
          <w:sz w:val="24"/>
        </w:rPr>
      </w:pPr>
      <w:r>
        <w:rPr>
          <w:rFonts w:hint="eastAsia" w:ascii="宋体" w:hAnsi="宋体" w:cs="宋体"/>
          <w:b/>
          <w:sz w:val="24"/>
        </w:rPr>
        <w:t>十一、 合同转让</w:t>
      </w:r>
      <w:bookmarkEnd w:id="475"/>
      <w:bookmarkEnd w:id="476"/>
      <w:bookmarkEnd w:id="477"/>
      <w:r>
        <w:rPr>
          <w:rFonts w:hint="eastAsia" w:ascii="宋体" w:hAnsi="宋体" w:cs="宋体"/>
          <w:b/>
          <w:sz w:val="24"/>
        </w:rPr>
        <w:t>和分包</w:t>
      </w:r>
      <w:bookmarkEnd w:id="478"/>
      <w:bookmarkEnd w:id="479"/>
      <w:bookmarkEnd w:id="480"/>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rPr>
          <w:rFonts w:ascii="宋体" w:hAnsi="宋体" w:cs="宋体"/>
          <w:b/>
          <w:sz w:val="24"/>
        </w:rPr>
      </w:pPr>
      <w:bookmarkStart w:id="481" w:name="_Toc14066"/>
      <w:bookmarkStart w:id="482" w:name="_Toc13566"/>
      <w:bookmarkStart w:id="483" w:name="_Toc16508"/>
      <w:r>
        <w:rPr>
          <w:rFonts w:hint="eastAsia" w:ascii="宋体" w:hAnsi="宋体" w:cs="宋体"/>
          <w:b/>
          <w:sz w:val="24"/>
        </w:rPr>
        <w:t>十二、不可抗力</w:t>
      </w:r>
      <w:bookmarkEnd w:id="481"/>
      <w:bookmarkEnd w:id="482"/>
      <w:bookmarkEnd w:id="483"/>
    </w:p>
    <w:p>
      <w:pPr>
        <w:spacing w:line="360" w:lineRule="auto"/>
        <w:ind w:firstLine="480" w:firstLineChars="200"/>
        <w:rPr>
          <w:rFonts w:ascii="宋体" w:hAnsi="宋体"/>
          <w:sz w:val="24"/>
        </w:rPr>
      </w:pPr>
      <w:bookmarkStart w:id="484" w:name="_Toc259093684"/>
      <w:bookmarkStart w:id="485" w:name="_Toc279701255"/>
      <w:bookmarkStart w:id="486" w:name="_Toc689"/>
      <w:bookmarkStart w:id="487" w:name="_Toc30676"/>
      <w:bookmarkStart w:id="488" w:name="_Toc487900365"/>
      <w:bookmarkStart w:id="489" w:name="_Toc6969"/>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rPr>
          <w:rFonts w:ascii="宋体" w:hAnsi="宋体" w:cs="宋体"/>
          <w:b/>
          <w:sz w:val="24"/>
        </w:rPr>
      </w:pPr>
      <w:r>
        <w:rPr>
          <w:rFonts w:hint="eastAsia" w:ascii="宋体" w:hAnsi="宋体" w:cs="宋体"/>
          <w:b/>
          <w:sz w:val="24"/>
        </w:rPr>
        <w:t>十三、 税费</w:t>
      </w:r>
      <w:bookmarkEnd w:id="484"/>
      <w:bookmarkEnd w:id="485"/>
      <w:bookmarkEnd w:id="486"/>
      <w:bookmarkEnd w:id="487"/>
      <w:bookmarkEnd w:id="488"/>
      <w:bookmarkEnd w:id="489"/>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rPr>
          <w:rFonts w:ascii="宋体" w:hAnsi="宋体" w:cs="宋体"/>
          <w:b/>
          <w:sz w:val="24"/>
        </w:rPr>
      </w:pPr>
      <w:bookmarkStart w:id="490" w:name="_Toc7102"/>
      <w:bookmarkStart w:id="491" w:name="_Toc259093687"/>
      <w:bookmarkStart w:id="492" w:name="_Toc279701258"/>
      <w:bookmarkStart w:id="493" w:name="_Toc487900368"/>
      <w:bookmarkStart w:id="494" w:name="_Toc16959"/>
      <w:bookmarkStart w:id="495" w:name="_Toc8298"/>
      <w:r>
        <w:rPr>
          <w:rFonts w:hint="eastAsia" w:ascii="宋体" w:hAnsi="宋体" w:cs="宋体"/>
          <w:b/>
          <w:sz w:val="24"/>
        </w:rPr>
        <w:t>十四、乙方破产</w:t>
      </w:r>
      <w:bookmarkEnd w:id="490"/>
      <w:bookmarkEnd w:id="491"/>
      <w:bookmarkEnd w:id="492"/>
      <w:bookmarkEnd w:id="493"/>
      <w:bookmarkEnd w:id="494"/>
      <w:bookmarkEnd w:id="495"/>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rPr>
          <w:rFonts w:ascii="宋体" w:hAnsi="宋体" w:cs="宋体"/>
          <w:b/>
          <w:sz w:val="24"/>
        </w:rPr>
      </w:pPr>
      <w:bookmarkStart w:id="496" w:name="_Toc15387"/>
      <w:bookmarkStart w:id="497" w:name="_Toc6134"/>
      <w:bookmarkStart w:id="498" w:name="_Toc29333"/>
      <w:r>
        <w:rPr>
          <w:rFonts w:hint="eastAsia" w:ascii="宋体" w:hAnsi="宋体" w:cs="宋体"/>
          <w:b/>
          <w:sz w:val="24"/>
        </w:rPr>
        <w:t>十五、合同中止、终止</w:t>
      </w:r>
      <w:bookmarkEnd w:id="496"/>
      <w:bookmarkEnd w:id="497"/>
      <w:bookmarkEnd w:id="498"/>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w:t>
      </w:r>
      <w:r>
        <w:rPr>
          <w:rFonts w:hint="eastAsia" w:ascii="宋体" w:hAnsi="宋体" w:cs="宋体"/>
          <w:sz w:val="24"/>
          <w:lang w:eastAsia="zh-CN"/>
        </w:rPr>
        <w:t>终</w:t>
      </w:r>
      <w:r>
        <w:rPr>
          <w:rFonts w:hint="eastAsia" w:ascii="宋体" w:hAnsi="宋体" w:cs="宋体"/>
          <w:sz w:val="24"/>
        </w:rPr>
        <w:t>止或解除合同。</w:t>
      </w:r>
    </w:p>
    <w:bookmarkEnd w:id="471"/>
    <w:bookmarkEnd w:id="472"/>
    <w:bookmarkEnd w:id="473"/>
    <w:bookmarkEnd w:id="474"/>
    <w:p>
      <w:pPr>
        <w:spacing w:line="360" w:lineRule="auto"/>
        <w:ind w:firstLine="482" w:firstLineChars="200"/>
        <w:rPr>
          <w:rFonts w:ascii="宋体" w:hAnsi="宋体" w:cs="宋体"/>
          <w:b/>
          <w:sz w:val="24"/>
        </w:rPr>
      </w:pPr>
      <w:bookmarkStart w:id="499" w:name="_Toc279701261"/>
      <w:bookmarkStart w:id="500" w:name="_Toc259093690"/>
      <w:bookmarkStart w:id="501" w:name="_Toc487900371"/>
      <w:bookmarkStart w:id="502" w:name="_Toc11284"/>
      <w:bookmarkStart w:id="503" w:name="_Toc19604"/>
      <w:bookmarkStart w:id="504" w:name="_Toc25182"/>
      <w:r>
        <w:rPr>
          <w:rFonts w:hint="eastAsia" w:ascii="宋体" w:hAnsi="宋体" w:cs="宋体"/>
          <w:b/>
          <w:sz w:val="24"/>
        </w:rPr>
        <w:t>十六、 通知</w:t>
      </w:r>
      <w:bookmarkEnd w:id="499"/>
      <w:bookmarkEnd w:id="500"/>
      <w:bookmarkEnd w:id="501"/>
      <w:r>
        <w:rPr>
          <w:rFonts w:hint="eastAsia" w:ascii="宋体" w:hAnsi="宋体" w:cs="宋体"/>
          <w:b/>
          <w:sz w:val="24"/>
        </w:rPr>
        <w:t>和送达</w:t>
      </w:r>
      <w:bookmarkEnd w:id="502"/>
      <w:bookmarkEnd w:id="503"/>
      <w:bookmarkEnd w:id="504"/>
    </w:p>
    <w:p>
      <w:pPr>
        <w:spacing w:line="360" w:lineRule="auto"/>
        <w:ind w:firstLine="480" w:firstLineChars="200"/>
        <w:rPr>
          <w:rFonts w:ascii="宋体" w:hAnsi="宋体"/>
          <w:sz w:val="24"/>
        </w:rPr>
      </w:pPr>
      <w:bookmarkStart w:id="505" w:name="_Toc27674"/>
      <w:bookmarkStart w:id="506" w:name="_Toc18401"/>
      <w:bookmarkStart w:id="507" w:name="_Toc259093691"/>
      <w:bookmarkStart w:id="508" w:name="_Toc279701262"/>
      <w:bookmarkStart w:id="509" w:name="_Toc30599"/>
      <w:bookmarkStart w:id="510" w:name="_Toc18540"/>
      <w:bookmarkStart w:id="511" w:name="_Toc4355"/>
      <w:bookmarkStart w:id="512" w:name="_Toc487900372"/>
      <w:r>
        <w:rPr>
          <w:rFonts w:hint="eastAsia" w:ascii="宋体" w:hAnsi="宋体"/>
          <w:sz w:val="24"/>
        </w:rPr>
        <w:t>1.任何一方因履行合同而以合同第一章尾部所列明的电子邮件发出的所有通知、文件、材料，均视为已向对方当事人送达；任何一方变更上述送达方式或者地址的，应于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505"/>
      <w:bookmarkEnd w:id="506"/>
    </w:p>
    <w:p>
      <w:pPr>
        <w:spacing w:line="360" w:lineRule="auto"/>
        <w:ind w:firstLine="482" w:firstLineChars="200"/>
        <w:rPr>
          <w:rFonts w:ascii="宋体" w:hAnsi="宋体" w:cs="宋体"/>
          <w:b/>
          <w:sz w:val="24"/>
        </w:rPr>
      </w:pPr>
      <w:r>
        <w:rPr>
          <w:rFonts w:hint="eastAsia" w:ascii="宋体" w:hAnsi="宋体" w:cs="宋体"/>
          <w:b/>
          <w:sz w:val="24"/>
        </w:rPr>
        <w:t>十七、 计量单位</w:t>
      </w:r>
      <w:bookmarkEnd w:id="507"/>
      <w:bookmarkEnd w:id="508"/>
      <w:bookmarkEnd w:id="509"/>
      <w:bookmarkEnd w:id="510"/>
      <w:bookmarkEnd w:id="511"/>
      <w:bookmarkEnd w:id="512"/>
    </w:p>
    <w:p>
      <w:pPr>
        <w:spacing w:line="360" w:lineRule="auto"/>
        <w:ind w:firstLine="480" w:firstLineChars="200"/>
        <w:rPr>
          <w:rFonts w:ascii="宋体" w:hAnsi="宋体" w:cs="宋体"/>
          <w:sz w:val="24"/>
        </w:rPr>
      </w:pPr>
      <w:r>
        <w:rPr>
          <w:rFonts w:hint="eastAsia" w:ascii="宋体" w:hAnsi="宋体" w:cs="宋体"/>
          <w:sz w:val="24"/>
        </w:rPr>
        <w:t>除技术规范中另有规定外</w:t>
      </w:r>
      <w:r>
        <w:rPr>
          <w:rFonts w:hint="eastAsia" w:ascii="宋体" w:hAnsi="宋体" w:cs="宋体"/>
          <w:sz w:val="24"/>
          <w:lang w:eastAsia="zh-CN"/>
        </w:rPr>
        <w:t>，</w:t>
      </w:r>
      <w:r>
        <w:rPr>
          <w:rFonts w:hint="eastAsia" w:ascii="宋体" w:hAnsi="宋体" w:cs="宋体"/>
          <w:sz w:val="24"/>
        </w:rPr>
        <w:t>合同的计量单位均使用国家法定计量单位。</w:t>
      </w:r>
    </w:p>
    <w:p>
      <w:pPr>
        <w:spacing w:line="360" w:lineRule="auto"/>
        <w:ind w:firstLine="482" w:firstLineChars="200"/>
        <w:rPr>
          <w:rFonts w:ascii="宋体" w:hAnsi="宋体" w:cs="宋体"/>
          <w:b/>
          <w:sz w:val="24"/>
        </w:rPr>
      </w:pPr>
      <w:bookmarkStart w:id="513" w:name="_Toc279701263"/>
      <w:bookmarkStart w:id="514" w:name="_Toc12773"/>
      <w:bookmarkStart w:id="515" w:name="_Toc259093692"/>
      <w:bookmarkStart w:id="516" w:name="_Toc487900373"/>
      <w:bookmarkStart w:id="517" w:name="_Toc10330"/>
      <w:bookmarkStart w:id="518" w:name="_Toc18567"/>
      <w:r>
        <w:rPr>
          <w:rFonts w:hint="eastAsia" w:ascii="宋体" w:hAnsi="宋体" w:cs="宋体"/>
          <w:b/>
          <w:sz w:val="24"/>
        </w:rPr>
        <w:t>十八、合同使用的文字和适用的法律</w:t>
      </w:r>
      <w:bookmarkEnd w:id="513"/>
      <w:bookmarkEnd w:id="514"/>
      <w:bookmarkEnd w:id="515"/>
      <w:bookmarkEnd w:id="516"/>
      <w:bookmarkEnd w:id="517"/>
      <w:bookmarkEnd w:id="518"/>
    </w:p>
    <w:p>
      <w:pPr>
        <w:spacing w:line="360" w:lineRule="auto"/>
        <w:ind w:firstLine="480" w:firstLineChars="200"/>
        <w:rPr>
          <w:rFonts w:ascii="宋体" w:hAnsi="宋体" w:cs="宋体"/>
          <w:sz w:val="24"/>
        </w:rPr>
      </w:pPr>
      <w:r>
        <w:rPr>
          <w:rFonts w:hint="eastAsia" w:ascii="宋体" w:hAnsi="宋体" w:cs="宋体"/>
          <w:sz w:val="24"/>
        </w:rPr>
        <w:t>1.合同使用汉语书就、变更和解释；</w:t>
      </w:r>
    </w:p>
    <w:p>
      <w:pPr>
        <w:spacing w:line="360" w:lineRule="auto"/>
        <w:ind w:firstLine="480" w:firstLineChars="200"/>
        <w:rPr>
          <w:rFonts w:hint="eastAsia" w:ascii="宋体" w:hAnsi="宋体" w:cs="宋体"/>
          <w:sz w:val="24"/>
        </w:rPr>
      </w:pPr>
      <w:r>
        <w:rPr>
          <w:rFonts w:hint="eastAsia" w:ascii="宋体" w:hAnsi="宋体" w:cs="宋体"/>
          <w:sz w:val="24"/>
        </w:rPr>
        <w:t>2.合同适用中华人民共和国法律。</w:t>
      </w:r>
    </w:p>
    <w:p>
      <w:pPr>
        <w:spacing w:line="360" w:lineRule="auto"/>
        <w:ind w:firstLine="482" w:firstLineChars="200"/>
        <w:rPr>
          <w:rFonts w:ascii="宋体" w:hAnsi="宋体"/>
          <w:b/>
          <w:sz w:val="24"/>
        </w:rPr>
      </w:pPr>
      <w:r>
        <w:rPr>
          <w:rFonts w:hint="eastAsia" w:ascii="宋体" w:hAnsi="宋体"/>
          <w:b/>
          <w:sz w:val="24"/>
        </w:rPr>
        <w:t>十九、特别提示</w:t>
      </w:r>
    </w:p>
    <w:p>
      <w:pPr>
        <w:spacing w:line="360" w:lineRule="auto"/>
        <w:ind w:firstLine="480" w:firstLineChars="200"/>
        <w:rPr>
          <w:rFonts w:hint="eastAsia" w:ascii="宋体" w:hAnsi="宋体" w:cs="宋体"/>
          <w:sz w:val="24"/>
        </w:rPr>
      </w:pPr>
      <w:r>
        <w:rPr>
          <w:rFonts w:hint="eastAsia" w:ascii="宋体" w:hAnsi="宋体" w:cs="宋体"/>
          <w:sz w:val="24"/>
        </w:rPr>
        <w:t>甲乙双方共同确认：本合同系经双方协商后订立，双方已就本合同（包括但不</w:t>
      </w:r>
      <w:r>
        <w:rPr>
          <w:rFonts w:hint="eastAsia" w:ascii="宋体" w:hAnsi="宋体" w:cs="宋体"/>
          <w:sz w:val="24"/>
          <w:lang w:eastAsia="zh-CN"/>
        </w:rPr>
        <w:t>限</w:t>
      </w:r>
      <w:r>
        <w:rPr>
          <w:rFonts w:hint="eastAsia" w:ascii="宋体" w:hAnsi="宋体" w:cs="宋体"/>
          <w:sz w:val="24"/>
        </w:rPr>
        <w:t>于合同书、合同一般条款、安全协议、廉洁协议等，本条下同）全部条款向另一方作充分提示、说明，双方已充分理解、认可本合同全部内容，并确认本合同全部内容不存在不合理地免除或者减轻任何一方责任、加重任何一方责任、限制/排除任何一方主要权利的情形。</w:t>
      </w:r>
    </w:p>
    <w:p>
      <w:pPr>
        <w:jc w:val="center"/>
        <w:rPr>
          <w:rFonts w:ascii="宋体" w:hAnsi="宋体" w:eastAsia="宋体" w:cs="Times New Roman"/>
          <w:b/>
        </w:rPr>
      </w:pPr>
    </w:p>
    <w:p>
      <w:pPr>
        <w:jc w:val="center"/>
        <w:rPr>
          <w:rFonts w:ascii="宋体" w:hAnsi="宋体" w:eastAsia="宋体" w:cs="Times New Roman"/>
          <w:b/>
        </w:rPr>
      </w:pPr>
    </w:p>
    <w:p>
      <w:pPr>
        <w:autoSpaceDE w:val="0"/>
        <w:autoSpaceDN w:val="0"/>
        <w:spacing w:line="360" w:lineRule="auto"/>
        <w:rPr>
          <w:rFonts w:ascii="宋体" w:hAnsi="宋体"/>
          <w:sz w:val="24"/>
          <w:lang w:val="zh-CN"/>
        </w:rPr>
      </w:pPr>
      <w:r>
        <w:rPr>
          <w:rFonts w:hint="eastAsia" w:ascii="宋体" w:hAnsi="宋体"/>
          <w:b/>
          <w:sz w:val="24"/>
          <w:lang w:val="zh-CN"/>
        </w:rPr>
        <w:t>甲方</w:t>
      </w:r>
      <w:r>
        <w:rPr>
          <w:rFonts w:hint="eastAsia" w:ascii="宋体" w:hAnsi="宋体"/>
          <w:sz w:val="24"/>
          <w:lang w:val="zh-CN"/>
        </w:rPr>
        <w:t>：杭州临江环境能源有限公司</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360" w:lineRule="auto"/>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统一社会信用代码或身份证号码：91330100MA2B02NX2L</w:t>
      </w:r>
    </w:p>
    <w:p>
      <w:pPr>
        <w:autoSpaceDE w:val="0"/>
        <w:autoSpaceDN w:val="0"/>
        <w:spacing w:line="360" w:lineRule="auto"/>
        <w:rPr>
          <w:rFonts w:ascii="宋体" w:hAnsi="宋体"/>
          <w:sz w:val="24"/>
          <w:lang w:val="zh-CN"/>
        </w:rPr>
      </w:pPr>
      <w:r>
        <w:rPr>
          <w:rFonts w:hint="eastAsia" w:ascii="宋体" w:hAnsi="宋体"/>
          <w:sz w:val="24"/>
          <w:lang w:val="zh-CN"/>
        </w:rPr>
        <w:t>地址：浙江省杭州市钱塘区</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地址：</w:t>
      </w:r>
    </w:p>
    <w:p>
      <w:pPr>
        <w:autoSpaceDE w:val="0"/>
        <w:autoSpaceDN w:val="0"/>
        <w:spacing w:line="360" w:lineRule="auto"/>
        <w:rPr>
          <w:rFonts w:ascii="宋体" w:hAnsi="宋体"/>
          <w:sz w:val="24"/>
          <w:lang w:val="zh-CN"/>
        </w:rPr>
      </w:pPr>
      <w:r>
        <w:rPr>
          <w:rFonts w:hint="eastAsia" w:ascii="宋体" w:hAnsi="宋体"/>
          <w:sz w:val="24"/>
          <w:lang w:val="zh-CN"/>
        </w:rPr>
        <w:t>临江街道红十五路10388-123号</w:t>
      </w:r>
    </w:p>
    <w:p>
      <w:pPr>
        <w:autoSpaceDE w:val="0"/>
        <w:autoSpaceDN w:val="0"/>
        <w:spacing w:line="360" w:lineRule="auto"/>
        <w:rPr>
          <w:rFonts w:ascii="宋体" w:hAnsi="宋体"/>
          <w:sz w:val="24"/>
          <w:lang w:val="zh-CN"/>
        </w:rPr>
      </w:pPr>
      <w:r>
        <w:rPr>
          <w:rFonts w:hint="eastAsia" w:ascii="宋体" w:hAnsi="宋体"/>
          <w:sz w:val="24"/>
          <w:lang w:val="zh-CN"/>
        </w:rPr>
        <w:t>电子邮箱：</w:t>
      </w:r>
      <w:r>
        <w:rPr>
          <w:rFonts w:hint="eastAsia" w:ascii="宋体" w:hAnsi="宋体"/>
          <w:sz w:val="24"/>
          <w:u w:val="single"/>
          <w:lang w:val="en-US" w:eastAsia="zh-CN"/>
        </w:rPr>
        <w:t>43536191@qq.com</w:t>
      </w:r>
      <w:r>
        <w:rPr>
          <w:rFonts w:ascii="宋体" w:hAnsi="宋体"/>
          <w:sz w:val="24"/>
          <w:u w:val="single"/>
        </w:rPr>
        <w:t xml:space="preserve"> </w:t>
      </w:r>
      <w:r>
        <w:rPr>
          <w:rFonts w:ascii="宋体" w:hAnsi="宋体"/>
          <w:sz w:val="24"/>
          <w:lang w:val="zh-CN"/>
        </w:rPr>
        <w:t xml:space="preserve">                   </w:t>
      </w:r>
      <w:r>
        <w:rPr>
          <w:rFonts w:hint="eastAsia" w:ascii="宋体" w:hAnsi="宋体"/>
          <w:sz w:val="24"/>
          <w:lang w:val="zh-CN"/>
        </w:rPr>
        <w:t>电子邮箱：</w:t>
      </w:r>
    </w:p>
    <w:p>
      <w:pPr>
        <w:autoSpaceDE w:val="0"/>
        <w:autoSpaceDN w:val="0"/>
        <w:spacing w:line="360" w:lineRule="auto"/>
        <w:rPr>
          <w:rFonts w:ascii="宋体" w:hAnsi="宋体"/>
          <w:sz w:val="24"/>
          <w:lang w:val="zh-CN"/>
        </w:rPr>
      </w:pPr>
      <w:r>
        <w:rPr>
          <w:rFonts w:hint="eastAsia" w:ascii="宋体" w:hAnsi="宋体"/>
          <w:sz w:val="24"/>
          <w:lang w:val="zh-CN"/>
        </w:rPr>
        <w:t>法定代表人或授权代表</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法定代表人或</w:t>
      </w:r>
      <w:r>
        <w:rPr>
          <w:rFonts w:ascii="宋体" w:hAnsi="宋体"/>
          <w:sz w:val="24"/>
          <w:lang w:val="zh-CN"/>
        </w:rPr>
        <w:t>授权代表</w:t>
      </w:r>
    </w:p>
    <w:p>
      <w:pPr>
        <w:autoSpaceDE w:val="0"/>
        <w:autoSpaceDN w:val="0"/>
        <w:spacing w:line="360" w:lineRule="auto"/>
        <w:rPr>
          <w:rFonts w:ascii="宋体" w:hAnsi="宋体"/>
          <w:sz w:val="24"/>
          <w:lang w:val="zh-CN"/>
        </w:rPr>
      </w:pPr>
      <w:r>
        <w:rPr>
          <w:rFonts w:hint="eastAsia" w:ascii="宋体" w:hAnsi="宋体"/>
          <w:sz w:val="24"/>
          <w:lang w:val="zh-CN"/>
        </w:rPr>
        <w:t>（签字）：</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（签字）</w:t>
      </w:r>
      <w:r>
        <w:rPr>
          <w:rFonts w:hint="eastAsia" w:ascii="宋体" w:hAnsi="宋体"/>
          <w:sz w:val="24"/>
          <w:lang w:val="zh-CN"/>
        </w:rPr>
        <w:t>：</w:t>
      </w:r>
      <w:r>
        <w:rPr>
          <w:rFonts w:ascii="宋体" w:hAnsi="宋体"/>
          <w:sz w:val="24"/>
          <w:lang w:val="zh-CN"/>
        </w:rPr>
        <w:t xml:space="preserve"> </w:t>
      </w:r>
    </w:p>
    <w:p>
      <w:pPr>
        <w:autoSpaceDE w:val="0"/>
        <w:autoSpaceDN w:val="0"/>
        <w:spacing w:line="360" w:lineRule="auto"/>
        <w:rPr>
          <w:rFonts w:ascii="宋体" w:hAnsi="宋体"/>
          <w:sz w:val="24"/>
        </w:rPr>
      </w:pPr>
      <w:r>
        <w:rPr>
          <w:rFonts w:hint="eastAsia" w:ascii="宋体" w:hAnsi="宋体"/>
          <w:sz w:val="24"/>
        </w:rPr>
        <w:t>开户银行：杭州银行大江东支行：</w:t>
      </w:r>
      <w:r>
        <w:rPr>
          <w:rFonts w:ascii="宋体" w:hAnsi="宋体"/>
          <w:sz w:val="24"/>
        </w:rPr>
        <w:t xml:space="preserve">          开户银行： </w:t>
      </w:r>
    </w:p>
    <w:p>
      <w:pPr>
        <w:autoSpaceDE w:val="0"/>
        <w:autoSpaceDN w:val="0"/>
        <w:spacing w:line="360" w:lineRule="auto"/>
        <w:rPr>
          <w:rFonts w:ascii="宋体" w:hAnsi="宋体"/>
          <w:sz w:val="24"/>
        </w:rPr>
      </w:pPr>
      <w:r>
        <w:rPr>
          <w:rFonts w:hint="eastAsia" w:ascii="宋体" w:hAnsi="宋体"/>
          <w:sz w:val="24"/>
        </w:rPr>
        <w:t>开户账号：3301040160008775754</w:t>
      </w:r>
      <w:r>
        <w:rPr>
          <w:rFonts w:ascii="宋体" w:hAnsi="宋体"/>
          <w:sz w:val="24"/>
          <w:lang w:val="zh-CN"/>
        </w:rPr>
        <w:t xml:space="preserve">           </w:t>
      </w:r>
      <w:r>
        <w:rPr>
          <w:rFonts w:hint="eastAsia" w:ascii="宋体" w:hAnsi="宋体"/>
          <w:sz w:val="24"/>
        </w:rPr>
        <w:t>开户账号：</w:t>
      </w:r>
    </w:p>
    <w:p>
      <w:pPr>
        <w:widowControl/>
        <w:jc w:val="left"/>
        <w:rPr>
          <w:rFonts w:ascii="宋体" w:hAnsi="宋体" w:cs="Times New Roman"/>
          <w:b/>
          <w:sz w:val="24"/>
        </w:rPr>
      </w:pPr>
      <w:r>
        <w:rPr>
          <w:rFonts w:ascii="宋体" w:hAnsi="宋体" w:cs="Times New Roman"/>
          <w:b/>
        </w:rPr>
        <w:br w:type="page"/>
      </w:r>
    </w:p>
    <w:p>
      <w:pPr>
        <w:pStyle w:val="23"/>
        <w:spacing w:line="560" w:lineRule="exact"/>
        <w:ind w:left="0" w:leftChars="0" w:firstLine="0" w:firstLineChars="0"/>
        <w:jc w:val="center"/>
        <w:rPr>
          <w:rFonts w:ascii="宋体" w:hAnsi="宋体"/>
          <w:b/>
          <w:szCs w:val="24"/>
        </w:rPr>
      </w:pPr>
      <w:r>
        <w:rPr>
          <w:rFonts w:hint="eastAsia" w:ascii="宋体" w:hAnsi="宋体" w:cs="Times New Roman"/>
          <w:b/>
          <w:szCs w:val="24"/>
        </w:rPr>
        <w:t xml:space="preserve">第三章 </w:t>
      </w:r>
      <w:r>
        <w:rPr>
          <w:rFonts w:hint="eastAsia" w:ascii="宋体" w:hAnsi="宋体"/>
          <w:b/>
          <w:szCs w:val="24"/>
        </w:rPr>
        <w:t>廉洁协议</w:t>
      </w:r>
    </w:p>
    <w:p>
      <w:pPr>
        <w:pStyle w:val="9"/>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r>
        <w:rPr>
          <w:rFonts w:ascii="宋体" w:hAnsi="宋体" w:cs="宋体"/>
          <w:color w:val="000000"/>
          <w:sz w:val="24"/>
          <w:u w:val="single"/>
        </w:rPr>
        <w:t xml:space="preserve">           </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甲、乙双方应共同严格遵守国家和省市以及招标人主管部门关于市场准入、项目招标投标、市场经济活动等有关</w:t>
      </w:r>
      <w:r>
        <w:rPr>
          <w:rFonts w:hint="eastAsia" w:ascii="宋体" w:hAnsi="宋体" w:eastAsia="宋体" w:cs="宋体"/>
          <w:color w:val="000000"/>
          <w:sz w:val="24"/>
          <w:lang w:eastAsia="zh-CN"/>
        </w:rPr>
        <w:t>法律法规</w:t>
      </w:r>
      <w:r>
        <w:rPr>
          <w:rFonts w:hint="eastAsia" w:ascii="宋体" w:hAnsi="宋体" w:eastAsia="宋体" w:cs="宋体"/>
          <w:color w:val="000000"/>
          <w:sz w:val="24"/>
        </w:rPr>
        <w:t>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  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甲、乙双方如发现对方人员在业务活动中有违规、违纪、违法行为的，应及时提醒对方并督促其纠正，或直接向对方法人代表、纪检监察部门及检察机关如实反映情况。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000000"/>
          <w:sz w:val="24"/>
        </w:rPr>
      </w:pPr>
      <w:r>
        <w:rPr>
          <w:rFonts w:hint="eastAsia" w:ascii="宋体" w:hAnsi="宋体" w:cs="宋体"/>
          <w:color w:val="000000"/>
          <w:sz w:val="24"/>
        </w:rPr>
        <w:t>8.</w:t>
      </w:r>
      <w:r>
        <w:rPr>
          <w:rFonts w:hint="eastAsia" w:ascii="宋体" w:hAnsi="宋体" w:eastAsia="宋体" w:cs="宋体"/>
          <w:color w:val="000000"/>
          <w:sz w:val="24"/>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w:t>
      </w:r>
      <w:r>
        <w:rPr>
          <w:rFonts w:hint="eastAsia" w:ascii="宋体" w:hAnsi="宋体" w:eastAsia="宋体" w:cs="宋体"/>
          <w:color w:val="000000"/>
          <w:sz w:val="24"/>
          <w:lang w:eastAsia="zh-CN"/>
        </w:rPr>
        <w:t>终止</w:t>
      </w:r>
      <w:r>
        <w:rPr>
          <w:rFonts w:hint="eastAsia" w:ascii="宋体" w:hAnsi="宋体" w:eastAsia="宋体" w:cs="宋体"/>
          <w:color w:val="000000"/>
          <w:sz w:val="24"/>
        </w:rPr>
        <w:t>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Pr>
        <w:adjustRightInd w:val="0"/>
        <w:spacing w:line="360" w:lineRule="auto"/>
        <w:ind w:firstLine="32"/>
        <w:rPr>
          <w:rFonts w:ascii="宋体" w:hAnsi="宋体" w:eastAsia="宋体" w:cs="宋体"/>
          <w:color w:val="000000"/>
          <w:sz w:val="24"/>
        </w:rPr>
      </w:pPr>
    </w:p>
    <w:p>
      <w:pPr>
        <w:rPr>
          <w:rFonts w:hint="eastAsia" w:eastAsiaTheme="minorEastAsia"/>
          <w:lang w:eastAsia="zh-CN"/>
        </w:rPr>
      </w:pPr>
      <w:r>
        <w:rPr>
          <w:rFonts w:hint="eastAsia" w:ascii="宋体" w:hAnsi="宋体" w:eastAsia="宋体" w:cs="宋体"/>
          <w:b/>
          <w:bCs/>
          <w:color w:val="000000"/>
          <w:sz w:val="24"/>
          <w:lang w:val="en-US" w:eastAsia="zh-CN"/>
        </w:rPr>
        <w:t xml:space="preserve"> </w:t>
      </w:r>
    </w:p>
    <w:p/>
    <w:p>
      <w:pPr>
        <w:pStyle w:val="7"/>
      </w:pPr>
    </w:p>
    <w:p/>
    <w:p>
      <w:pPr>
        <w:pStyle w:val="7"/>
      </w:pPr>
    </w:p>
    <w:p/>
    <w:p>
      <w:pPr>
        <w:pStyle w:val="7"/>
      </w:pPr>
    </w:p>
    <w:p>
      <w:pPr>
        <w:pStyle w:val="8"/>
        <w:ind w:firstLine="0"/>
      </w:pPr>
    </w:p>
    <w:p/>
    <w:p/>
    <w:p>
      <w:pPr>
        <w:rPr>
          <w:rFonts w:hint="eastAsia" w:cs="仿宋" w:asciiTheme="minorEastAsia" w:hAnsiTheme="minorEastAsia"/>
          <w:b/>
          <w:sz w:val="36"/>
          <w:szCs w:val="36"/>
        </w:rPr>
      </w:pPr>
      <w:r>
        <w:rPr>
          <w:rFonts w:hint="eastAsia" w:cs="仿宋" w:asciiTheme="minorEastAsia" w:hAnsiTheme="minorEastAsia"/>
          <w:b/>
          <w:sz w:val="36"/>
          <w:szCs w:val="36"/>
        </w:rPr>
        <w:br w:type="page"/>
      </w:r>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5"/>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3360"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3360;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rPr>
        <w:t>开启时启封</w:t>
      </w:r>
    </w:p>
    <w:p>
      <w:pPr>
        <w:snapToGrid w:val="0"/>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lang w:eastAsia="zh-CN"/>
        </w:rPr>
        <w:t>2024年临江公司意大利百得燃烧器备件</w:t>
      </w:r>
      <w:r>
        <w:rPr>
          <w:rFonts w:hint="eastAsia" w:ascii="宋体" w:hAnsi="宋体" w:eastAsia="宋体" w:cs="宋体"/>
          <w:sz w:val="28"/>
          <w:szCs w:val="22"/>
          <w:u w:val="single"/>
        </w:rPr>
        <w:t xml:space="preserve">采购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w:t>
      </w:r>
      <w:r>
        <w:rPr>
          <w:rFonts w:ascii="宋体" w:hAnsi="宋体" w:eastAsia="宋体" w:cs="宋体"/>
          <w:sz w:val="28"/>
          <w:szCs w:val="22"/>
          <w:u w:val="single"/>
        </w:rPr>
        <w:t xml:space="preserve">     </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r>
        <w:rPr>
          <w:rFonts w:ascii="宋体" w:hAnsi="宋体" w:eastAsia="宋体" w:cs="宋体"/>
          <w:sz w:val="28"/>
          <w:szCs w:val="22"/>
          <w:u w:val="single"/>
        </w:rPr>
        <w:t xml:space="preserve">     </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r>
        <w:rPr>
          <w:rFonts w:ascii="宋体" w:hAnsi="宋体" w:eastAsia="宋体" w:cs="宋体"/>
          <w:sz w:val="28"/>
          <w:szCs w:val="22"/>
          <w:u w:val="single"/>
        </w:rPr>
        <w:t xml:space="preserve">     </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宋体"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napToGrid w:val="0"/>
        <w:spacing w:line="360" w:lineRule="auto"/>
        <w:rPr>
          <w:rFonts w:cs="仿宋" w:asciiTheme="minorEastAsia" w:hAnsiTheme="minorEastAsia"/>
          <w:b/>
          <w:kern w:val="0"/>
          <w:sz w:val="36"/>
          <w:szCs w:val="36"/>
        </w:rPr>
      </w:pPr>
    </w:p>
    <w:p>
      <w:pPr>
        <w:snapToGrid w:val="0"/>
        <w:spacing w:line="360" w:lineRule="auto"/>
        <w:rPr>
          <w:rFonts w:cs="仿宋" w:asciiTheme="minorEastAsia" w:hAnsiTheme="minorEastAsia"/>
          <w:b/>
          <w:kern w:val="0"/>
          <w:sz w:val="36"/>
          <w:szCs w:val="36"/>
        </w:rPr>
      </w:pPr>
    </w:p>
    <w:p>
      <w:pPr>
        <w:snapToGrid w:val="0"/>
        <w:spacing w:line="360" w:lineRule="auto"/>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napToGrid w:val="0"/>
        <w:spacing w:line="360" w:lineRule="auto"/>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napToGrid w:val="0"/>
        <w:spacing w:line="360" w:lineRule="auto"/>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14"/>
      </w:pPr>
    </w:p>
    <w:p/>
    <w:p>
      <w:pPr>
        <w:pStyle w:val="2"/>
        <w:rPr>
          <w:color w:val="auto"/>
        </w:rPr>
      </w:pPr>
    </w:p>
    <w:p/>
    <w:p>
      <w:pPr>
        <w:pStyle w:val="2"/>
      </w:pPr>
    </w:p>
    <w:p>
      <w:pPr>
        <w:pStyle w:val="7"/>
      </w:pPr>
    </w:p>
    <w:p/>
    <w:p>
      <w:pPr>
        <w:pStyle w:val="7"/>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hint="eastAsia" w:cs="仿宋" w:asciiTheme="minorEastAsia" w:hAnsiTheme="minorEastAsia"/>
          <w:sz w:val="24"/>
          <w:u w:val="single"/>
          <w:lang w:eastAsia="zh-CN"/>
        </w:rPr>
        <w:t>2024年临江公司意大利百得燃烧器备件</w:t>
      </w:r>
      <w:r>
        <w:rPr>
          <w:rFonts w:hint="eastAsia" w:cs="仿宋" w:asciiTheme="minorEastAsia" w:hAnsiTheme="minorEastAsia"/>
          <w:sz w:val="24"/>
        </w:rPr>
        <w:t>【项目编号：</w:t>
      </w:r>
      <w:r>
        <w:rPr>
          <w:rFonts w:hint="eastAsia" w:cs="仿宋" w:asciiTheme="minorEastAsia" w:hAnsiTheme="minorEastAsia"/>
          <w:sz w:val="24"/>
          <w:u w:val="single"/>
          <w:lang w:eastAsia="zh-CN"/>
        </w:rPr>
        <w:t>202404033</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w:t>
      </w:r>
      <w:r>
        <w:rPr>
          <w:rFonts w:hint="eastAsia" w:cs="仿宋" w:asciiTheme="minorEastAsia" w:hAnsiTheme="minorEastAsia"/>
          <w:sz w:val="24"/>
          <w:lang w:eastAsia="zh-CN"/>
        </w:rPr>
        <w:t>）</w:t>
      </w:r>
      <w:r>
        <w:rPr>
          <w:rFonts w:hint="eastAsia" w:cs="仿宋" w:asciiTheme="minorEastAsia" w:hAnsiTheme="minorEastAsia"/>
          <w:sz w:val="24"/>
        </w:rPr>
        <w:t>、中国政府采购网（www.ccgp.gov.cn）列入失信被执行人、重大税收违法案件当事人名单、政府采购严重违法失信行为记录名单。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7"/>
      </w:pPr>
    </w:p>
    <w:p>
      <w:pPr>
        <w:pStyle w:val="8"/>
      </w:pPr>
    </w:p>
    <w:p/>
    <w:p>
      <w:pPr>
        <w:pStyle w:val="7"/>
      </w:pPr>
    </w:p>
    <w:p>
      <w:pPr>
        <w:pStyle w:val="8"/>
      </w:pPr>
    </w:p>
    <w:p/>
    <w:p>
      <w:pPr>
        <w:pStyle w:val="7"/>
      </w:pPr>
    </w:p>
    <w:p>
      <w:pPr>
        <w:pStyle w:val="8"/>
      </w:pPr>
    </w:p>
    <w:p/>
    <w:p>
      <w:pPr>
        <w:pStyle w:val="13"/>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7"/>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（根据采购公告本项目的特定要求提供相应的材料，如业绩证明材料、特殊行业许可证书等；</w:t>
      </w:r>
      <w:r>
        <w:rPr>
          <w:rFonts w:hint="eastAsia" w:cs="仿宋" w:asciiTheme="minorEastAsia" w:hAnsiTheme="minorEastAsia"/>
          <w:sz w:val="24"/>
          <w:lang w:eastAsia="zh-CN"/>
        </w:rPr>
        <w:t>未有</w:t>
      </w:r>
      <w:r>
        <w:rPr>
          <w:rFonts w:hint="eastAsia" w:cs="仿宋" w:asciiTheme="minorEastAsia" w:hAnsiTheme="minorEastAsia"/>
          <w:sz w:val="24"/>
        </w:rPr>
        <w:t>要求的，无需提供）</w:t>
      </w: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7"/>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8"/>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hint="eastAsia" w:cs="仿宋" w:asciiTheme="minorEastAsia" w:hAnsiTheme="minorEastAsia"/>
          <w:sz w:val="24"/>
          <w:lang w:eastAsia="zh-CN"/>
        </w:rPr>
        <w:t>2024年临江公司意大利百得燃烧器备件</w:t>
      </w:r>
      <w:r>
        <w:rPr>
          <w:rFonts w:hint="eastAsia" w:cs="仿宋" w:asciiTheme="minorEastAsia" w:hAnsiTheme="minorEastAsia"/>
          <w:sz w:val="24"/>
        </w:rPr>
        <w:t>【项目编号：</w:t>
      </w:r>
      <w:r>
        <w:rPr>
          <w:rFonts w:hint="eastAsia" w:cs="仿宋" w:asciiTheme="minorEastAsia" w:hAnsiTheme="minorEastAsia"/>
          <w:sz w:val="24"/>
          <w:lang w:eastAsia="zh-CN"/>
        </w:rPr>
        <w:t>202404033</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2"/>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cs="仿宋" w:asciiTheme="minorEastAsia" w:hAnsiTheme="minorEastAsia"/>
          <w:sz w:val="24"/>
          <w:lang w:eastAsia="zh-CN"/>
        </w:rPr>
        <w:t>：</w:t>
      </w:r>
      <w:r>
        <w:rPr>
          <w:rFonts w:hint="eastAsia" w:ascii="宋体" w:hAnsi="宋体" w:cs="宋体"/>
          <w:sz w:val="24"/>
          <w:u w:val="single"/>
        </w:rPr>
        <w:t xml:space="preserve">              </w:t>
      </w:r>
      <w:r>
        <w:rPr>
          <w:rFonts w:hint="eastAsia" w:cs="仿宋" w:asciiTheme="minorEastAsia" w:hAnsiTheme="minorEastAsia"/>
          <w:sz w:val="24"/>
        </w:rPr>
        <w:t>。</w:t>
      </w:r>
    </w:p>
    <w:p>
      <w:pPr>
        <w:pStyle w:val="7"/>
      </w:pPr>
    </w:p>
    <w:p>
      <w:pPr>
        <w:pStyle w:val="8"/>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u w:val="single"/>
        </w:rPr>
        <w:t xml:space="preserve">（采购项目名称、采购编号）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w:t>
      </w:r>
      <w:r>
        <w:rPr>
          <w:rFonts w:hint="eastAsia" w:cs="仿宋" w:asciiTheme="minorEastAsia" w:hAnsiTheme="minorEastAsia"/>
          <w:kern w:val="0"/>
          <w:sz w:val="24"/>
          <w:lang w:eastAsia="zh-CN"/>
        </w:rPr>
        <w:t>、</w:t>
      </w:r>
      <w:r>
        <w:rPr>
          <w:rFonts w:hint="eastAsia" w:cs="仿宋" w:asciiTheme="minorEastAsia" w:hAnsiTheme="minorEastAsia"/>
          <w:kern w:val="0"/>
          <w:sz w:val="24"/>
          <w:lang w:val="en-US" w:eastAsia="zh-CN"/>
        </w:rPr>
        <w:t>合同签订、履行</w:t>
      </w:r>
      <w:r>
        <w:rPr>
          <w:rFonts w:hint="eastAsia" w:cs="仿宋" w:asciiTheme="minorEastAsia" w:hAnsiTheme="minorEastAsia"/>
          <w:kern w:val="0"/>
          <w:sz w:val="24"/>
        </w:rPr>
        <w:t>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7"/>
        <w:rPr>
          <w:rFonts w:cs="仿宋" w:asciiTheme="minorEastAsia" w:hAnsiTheme="minorEastAsia"/>
          <w:b/>
          <w:kern w:val="0"/>
          <w:sz w:val="32"/>
          <w:szCs w:val="32"/>
        </w:rPr>
      </w:pPr>
    </w:p>
    <w:p>
      <w:pPr>
        <w:pStyle w:val="8"/>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7"/>
        <w:rPr>
          <w:rFonts w:cs="仿宋" w:asciiTheme="minorEastAsia" w:hAnsiTheme="minorEastAsia"/>
          <w:b/>
          <w:kern w:val="0"/>
          <w:sz w:val="32"/>
          <w:szCs w:val="32"/>
        </w:rPr>
      </w:pPr>
    </w:p>
    <w:p>
      <w:pPr>
        <w:pStyle w:val="8"/>
      </w:pPr>
    </w:p>
    <w:p/>
    <w:p>
      <w:pPr>
        <w:pStyle w:val="26"/>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6"/>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6"/>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6"/>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6"/>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6"/>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b/>
          <w:bCs/>
          <w:sz w:val="24"/>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5"/>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响应文件满足询价采购文件的其他实质性要求。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8"/>
        <w:rPr>
          <w:rFonts w:cs="仿宋" w:asciiTheme="minorEastAsia" w:hAnsiTheme="minorEastAsia"/>
          <w:lang w:val="en-US"/>
        </w:rPr>
      </w:pPr>
    </w:p>
    <w:tbl>
      <w:tblPr>
        <w:tblStyle w:val="1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7"/>
        <w:rPr>
          <w:lang w:val="en-US"/>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有权立即取消或者终止我单位响应、成交合同，有权拒绝我单位在一定时期内进入你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7"/>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13"/>
        <w:rPr>
          <w:lang w:val="zh-CN"/>
        </w:rPr>
      </w:pPr>
    </w:p>
    <w:p>
      <w:pPr>
        <w:rPr>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13"/>
        <w:rPr>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存在管理</w:t>
            </w:r>
            <w:r>
              <w:rPr>
                <w:rFonts w:hint="eastAsia" w:ascii="宋体" w:hAnsi="宋体" w:eastAsia="宋体" w:cs="宋体"/>
                <w:sz w:val="24"/>
                <w:lang w:val="en-US" w:eastAsia="zh-CN"/>
              </w:rPr>
              <w:t>关系</w:t>
            </w:r>
            <w:r>
              <w:rPr>
                <w:rFonts w:hint="eastAsia" w:ascii="宋体" w:hAnsi="宋体" w:eastAsia="宋体" w:cs="宋体"/>
                <w:sz w:val="24"/>
              </w:rPr>
              <w:t>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4" w:type="first"/>
          <w:footerReference r:id="rId13"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项目名称   </w:t>
      </w:r>
      <w:r>
        <w:rPr>
          <w:rFonts w:hint="eastAsia" w:ascii="宋体" w:hAnsi="宋体" w:eastAsia="宋体" w:cs="宋体"/>
          <w:sz w:val="24"/>
        </w:rPr>
        <w:t>采购活动，并做如下承诺：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3120" w:firstLineChars="1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2023年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5"/>
        <w:jc w:val="center"/>
        <w:rPr>
          <w:sz w:val="32"/>
          <w:szCs w:val="32"/>
        </w:rPr>
      </w:pPr>
      <w:r>
        <w:rPr>
          <w:rFonts w:hint="eastAsia"/>
          <w:sz w:val="32"/>
          <w:szCs w:val="32"/>
        </w:rPr>
        <w:t>一 、 报价函</w:t>
      </w:r>
    </w:p>
    <w:p>
      <w:pPr>
        <w:pStyle w:val="7"/>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8"/>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lang w:eastAsia="zh-CN"/>
        </w:rPr>
        <w:t>2024年临江公司意大利百得燃烧器备件</w:t>
      </w:r>
      <w:r>
        <w:rPr>
          <w:rFonts w:hint="eastAsia" w:ascii="宋体" w:hAnsi="宋体" w:eastAsia="宋体" w:cs="宋体"/>
          <w:sz w:val="24"/>
          <w:u w:val="single"/>
        </w:rPr>
        <w:t>采购</w:t>
      </w:r>
      <w:r>
        <w:rPr>
          <w:rFonts w:hint="eastAsia" w:ascii="宋体" w:hAnsi="宋体" w:eastAsia="宋体" w:cs="宋体"/>
          <w:sz w:val="24"/>
        </w:rPr>
        <w:t>项</w:t>
      </w:r>
      <w:r>
        <w:rPr>
          <w:rFonts w:hint="eastAsia" w:ascii="宋体" w:hAnsi="宋体" w:eastAsia="宋体" w:cs="宋体"/>
          <w:spacing w:val="-3"/>
          <w:sz w:val="24"/>
        </w:rPr>
        <w:t>目</w:t>
      </w:r>
      <w:r>
        <w:rPr>
          <w:rFonts w:hint="eastAsia" w:ascii="宋体" w:hAnsi="宋体" w:eastAsia="宋体" w:cs="宋体"/>
          <w:sz w:val="24"/>
        </w:rPr>
        <w:t>（项目编号：</w:t>
      </w:r>
      <w:r>
        <w:rPr>
          <w:rFonts w:hint="eastAsia" w:ascii="宋体" w:hAnsi="宋体" w:eastAsia="宋体" w:cs="宋体"/>
          <w:sz w:val="24"/>
          <w:u w:val="single"/>
          <w:lang w:eastAsia="zh-CN"/>
        </w:rPr>
        <w:t>202404033</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3"/>
          <w:sz w:val="24"/>
          <w:lang w:eastAsia="zh-CN"/>
        </w:rPr>
        <w:t>，</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w:t>
      </w:r>
      <w:r>
        <w:rPr>
          <w:rFonts w:hint="eastAsia" w:ascii="宋体" w:hAnsi="宋体" w:eastAsia="宋体" w:cs="宋体"/>
          <w:sz w:val="24"/>
          <w:lang w:eastAsia="zh-CN"/>
        </w:rPr>
        <w:t>，</w:t>
      </w:r>
      <w:r>
        <w:rPr>
          <w:rFonts w:hint="eastAsia" w:ascii="宋体" w:hAnsi="宋体" w:eastAsia="宋体" w:cs="宋体"/>
          <w:sz w:val="24"/>
        </w:rPr>
        <w:t>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8"/>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w:t>
      </w:r>
      <w:r>
        <w:rPr>
          <w:rFonts w:hint="eastAsia" w:ascii="宋体" w:hAnsi="宋体" w:eastAsia="宋体" w:cs="宋体"/>
          <w:spacing w:val="-4"/>
          <w:sz w:val="24"/>
          <w:lang w:eastAsia="zh-CN"/>
        </w:rPr>
        <w:t>（</w:t>
      </w:r>
      <w:r>
        <w:rPr>
          <w:rFonts w:hint="eastAsia" w:ascii="宋体" w:hAnsi="宋体" w:eastAsia="宋体" w:cs="宋体"/>
          <w:spacing w:val="-4"/>
          <w:sz w:val="24"/>
        </w:rPr>
        <w:t>如需要修改</w:t>
      </w:r>
      <w:r>
        <w:rPr>
          <w:rFonts w:hint="eastAsia" w:ascii="宋体" w:hAnsi="宋体" w:eastAsia="宋体" w:cs="宋体"/>
          <w:spacing w:val="-4"/>
          <w:sz w:val="24"/>
          <w:lang w:eastAsia="zh-CN"/>
        </w:rPr>
        <w:t>）</w:t>
      </w:r>
      <w:r>
        <w:rPr>
          <w:rFonts w:hint="eastAsia" w:ascii="宋体" w:hAnsi="宋体" w:eastAsia="宋体" w:cs="宋体"/>
          <w:spacing w:val="-4"/>
          <w:sz w:val="24"/>
        </w:rPr>
        <w:t>以及全部参考资料和有关附件。</w:t>
      </w:r>
      <w:r>
        <w:rPr>
          <w:rFonts w:hint="eastAsia" w:ascii="宋体" w:hAnsi="宋体" w:eastAsia="宋体" w:cs="宋体"/>
          <w:spacing w:val="-3"/>
          <w:sz w:val="24"/>
        </w:rPr>
        <w:t>我们完全理解并同意放弃对这方面有不明及误解的权利。</w:t>
      </w:r>
    </w:p>
    <w:p>
      <w:pPr>
        <w:pStyle w:val="28"/>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8"/>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4.如我方在响应过程中，发生询价文件规定的采购人可以没收询价保证金的情形的，我方同意采购人没收我方递交的全部询价保证金。</w:t>
      </w:r>
    </w:p>
    <w:p>
      <w:pPr>
        <w:pStyle w:val="28"/>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7"/>
        <w:ind w:firstLine="480" w:firstLineChars="200"/>
        <w:jc w:val="left"/>
        <w:rPr>
          <w:rFonts w:hAnsi="宋体" w:cs="宋体"/>
        </w:rPr>
      </w:pPr>
    </w:p>
    <w:p>
      <w:pPr>
        <w:pStyle w:val="7"/>
        <w:ind w:firstLine="480" w:firstLineChars="200"/>
        <w:jc w:val="left"/>
        <w:rPr>
          <w:rFonts w:hAnsi="宋体" w:cs="宋体"/>
        </w:rPr>
      </w:pPr>
    </w:p>
    <w:p>
      <w:pPr>
        <w:pStyle w:val="7"/>
        <w:jc w:val="left"/>
        <w:rPr>
          <w:rFonts w:hAnsi="宋体" w:cs="宋体"/>
        </w:rPr>
      </w:pPr>
      <w:r>
        <w:rPr>
          <w:rFonts w:hint="eastAsia" w:hAnsi="宋体" w:cs="宋体"/>
        </w:rPr>
        <w:t>供应商名称：（盖单位公章）</w:t>
      </w:r>
    </w:p>
    <w:p>
      <w:pPr>
        <w:pStyle w:val="7"/>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7"/>
        <w:tabs>
          <w:tab w:val="left" w:pos="4101"/>
        </w:tabs>
        <w:jc w:val="left"/>
        <w:rPr>
          <w:rFonts w:hAnsi="宋体" w:cs="宋体"/>
        </w:rPr>
      </w:pPr>
      <w:r>
        <w:rPr>
          <w:rFonts w:hint="eastAsia" w:hAnsi="宋体" w:cs="宋体"/>
        </w:rPr>
        <w:t>地址：</w:t>
      </w:r>
    </w:p>
    <w:p>
      <w:pPr>
        <w:pStyle w:val="7"/>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cs="宋体"/>
          <w:szCs w:val="21"/>
        </w:rPr>
        <w:t>日 期 ： 年 月 日</w:t>
      </w:r>
    </w:p>
    <w:p>
      <w:pPr>
        <w:pStyle w:val="29"/>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rFonts w:cs="仿宋" w:asciiTheme="minorEastAsia" w:hAnsiTheme="minorEastAsia"/>
          <w:kern w:val="0"/>
          <w:sz w:val="24"/>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2024年临江公司意大利百得燃烧器备件</w:t>
      </w:r>
      <w:r>
        <w:rPr>
          <w:rFonts w:hint="eastAsia" w:cs="仿宋" w:asciiTheme="minorEastAsia" w:hAnsiTheme="minorEastAsia"/>
          <w:sz w:val="24"/>
        </w:rPr>
        <w:t>【项目编号：</w:t>
      </w:r>
      <w:r>
        <w:rPr>
          <w:rFonts w:hint="eastAsia" w:cs="仿宋" w:asciiTheme="minorEastAsia" w:hAnsiTheme="minorEastAsia"/>
          <w:sz w:val="24"/>
          <w:u w:val="single"/>
          <w:lang w:eastAsia="zh-CN"/>
        </w:rPr>
        <w:t>202404033</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hint="eastAsia"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tbl>
      <w:tblPr>
        <w:tblStyle w:val="15"/>
        <w:tblW w:w="139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81"/>
        <w:gridCol w:w="1462"/>
        <w:gridCol w:w="774"/>
        <w:gridCol w:w="5304"/>
        <w:gridCol w:w="982"/>
        <w:gridCol w:w="895"/>
        <w:gridCol w:w="1755"/>
        <w:gridCol w:w="1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序号</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名称</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品牌</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型号规格</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单位</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数量</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单价（元）</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油嘴</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百得</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2000Kg,TBR20</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件</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点火油嘴</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百得</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1.5， 45，</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件</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火焰盘</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百得</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DISC 600*55+OUT RING,TBR20,</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件</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整套油枪</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百得</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AS.GRUPPO POLV.TBR20</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件</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火焰盘支架</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百得</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SUPPORT TS3L, BALTUR</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件</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观火镜玻璃</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百得</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D100</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件</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密封组件</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百得</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SEAL TBR20-6pcs</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件</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油嘴</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百得</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600Kg,RETURN NOZZLE</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件</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火焰盘</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百得</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DISC 300*55 RING,TS3L,</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件</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伺服电机</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百得</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MDL54 CONTROLLI,PID4-20mA</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件</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进油电磁阀</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百得</w:t>
            </w:r>
          </w:p>
        </w:tc>
        <w:tc>
          <w:tcPr>
            <w:tcW w:w="5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G3/4 0-40bar，NC，98VDC，密封件：FPM/PTFE/FPM,含插头</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件</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 w:hRule="atLeast"/>
        </w:trPr>
        <w:tc>
          <w:tcPr>
            <w:tcW w:w="32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b w:val="0"/>
                <w:bCs w:val="0"/>
                <w:i w:val="0"/>
                <w:iCs w:val="0"/>
                <w:color w:val="000000"/>
                <w:kern w:val="0"/>
                <w:sz w:val="22"/>
                <w:szCs w:val="22"/>
                <w:u w:val="none"/>
                <w:lang w:val="en-US" w:eastAsia="zh-CN" w:bidi="ar"/>
              </w:rPr>
            </w:pPr>
            <w:r>
              <w:rPr>
                <w:rFonts w:hint="eastAsia" w:cs="仿宋" w:asciiTheme="minorEastAsia" w:hAnsiTheme="minorEastAsia"/>
                <w:b/>
                <w:sz w:val="24"/>
              </w:rPr>
              <w:t>响应报价合计（小写）</w:t>
            </w:r>
          </w:p>
        </w:tc>
        <w:tc>
          <w:tcPr>
            <w:tcW w:w="107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 w:hRule="atLeast"/>
        </w:trPr>
        <w:tc>
          <w:tcPr>
            <w:tcW w:w="32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b w:val="0"/>
                <w:bCs w:val="0"/>
                <w:i w:val="0"/>
                <w:iCs w:val="0"/>
                <w:color w:val="000000"/>
                <w:kern w:val="0"/>
                <w:sz w:val="22"/>
                <w:szCs w:val="22"/>
                <w:u w:val="none"/>
                <w:lang w:val="en-US" w:eastAsia="zh-CN" w:bidi="ar"/>
              </w:rPr>
            </w:pPr>
            <w:r>
              <w:rPr>
                <w:rFonts w:hint="eastAsia" w:cs="仿宋" w:asciiTheme="minorEastAsia" w:hAnsiTheme="minorEastAsia"/>
                <w:b/>
                <w:sz w:val="24"/>
              </w:rPr>
              <w:t>响应报价合计（大写）</w:t>
            </w:r>
          </w:p>
        </w:tc>
        <w:tc>
          <w:tcPr>
            <w:tcW w:w="107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 w:hRule="atLeast"/>
        </w:trPr>
        <w:tc>
          <w:tcPr>
            <w:tcW w:w="32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b w:val="0"/>
                <w:bCs w:val="0"/>
                <w:i w:val="0"/>
                <w:iCs w:val="0"/>
                <w:color w:val="000000"/>
                <w:kern w:val="0"/>
                <w:sz w:val="22"/>
                <w:szCs w:val="22"/>
                <w:u w:val="none"/>
                <w:lang w:val="en-US" w:eastAsia="zh-CN" w:bidi="ar"/>
              </w:rPr>
            </w:pPr>
            <w:r>
              <w:rPr>
                <w:rFonts w:hint="eastAsia" w:cs="仿宋" w:asciiTheme="minorEastAsia" w:hAnsiTheme="minorEastAsia"/>
                <w:b/>
                <w:sz w:val="24"/>
              </w:rPr>
              <w:t>税率</w:t>
            </w:r>
          </w:p>
        </w:tc>
        <w:tc>
          <w:tcPr>
            <w:tcW w:w="107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b w:val="0"/>
                <w:bCs w:val="0"/>
                <w:i w:val="0"/>
                <w:iCs w:val="0"/>
                <w:color w:val="000000"/>
                <w:kern w:val="0"/>
                <w:sz w:val="22"/>
                <w:szCs w:val="22"/>
                <w:u w:val="none"/>
                <w:lang w:val="en-US" w:eastAsia="zh-CN" w:bidi="ar"/>
              </w:rPr>
            </w:pPr>
            <w:r>
              <w:rPr>
                <w:rFonts w:hint="eastAsia" w:cs="仿宋" w:asciiTheme="minorEastAsia" w:hAnsiTheme="minorEastAsia"/>
                <w:sz w:val="24"/>
                <w:u w:val="single"/>
              </w:rPr>
              <w:t xml:space="preserve">    </w:t>
            </w:r>
            <w:r>
              <w:rPr>
                <w:rFonts w:hint="eastAsia" w:cs="仿宋" w:asciiTheme="minorEastAsia" w:hAnsiTheme="minorEastAsia"/>
                <w:sz w:val="24"/>
              </w:rPr>
              <w:t xml:space="preserve"> %</w:t>
            </w:r>
          </w:p>
        </w:tc>
      </w:tr>
    </w:tbl>
    <w:p>
      <w:pPr>
        <w:pStyle w:val="2"/>
        <w:rPr>
          <w:rFonts w:hint="eastAsia" w:cs="仿宋" w:asciiTheme="minorEastAsia" w:hAnsiTheme="minorEastAsia"/>
          <w:b/>
          <w:kern w:val="0"/>
          <w:sz w:val="24"/>
          <w:lang w:val="zh-CN"/>
        </w:rPr>
      </w:pPr>
    </w:p>
    <w:p>
      <w:pPr>
        <w:rPr>
          <w:rFonts w:hint="eastAsia" w:cs="仿宋" w:asciiTheme="minorEastAsia" w:hAnsiTheme="minorEastAsia"/>
          <w:b/>
          <w:kern w:val="0"/>
          <w:sz w:val="24"/>
          <w:lang w:val="zh-CN"/>
        </w:rPr>
      </w:pPr>
    </w:p>
    <w:p>
      <w:pPr>
        <w:snapToGrid w:val="0"/>
        <w:spacing w:line="360" w:lineRule="auto"/>
        <w:ind w:left="480"/>
        <w:rPr>
          <w:rFonts w:cs="仿宋" w:asciiTheme="minorEastAsia" w:hAnsiTheme="minorEastAsia"/>
          <w:b/>
          <w:kern w:val="0"/>
          <w:sz w:val="24"/>
          <w:lang w:val="zh-CN"/>
        </w:rPr>
      </w:pPr>
      <w:r>
        <w:rPr>
          <w:rFonts w:hint="eastAsia" w:cs="仿宋" w:asciiTheme="minorEastAsia" w:hAnsiTheme="minorEastAsia"/>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docGrid w:type="lines" w:linePitch="319" w:charSpace="0"/>
        </w:sectPr>
      </w:pPr>
      <w:r>
        <w:rPr>
          <w:rFonts w:hint="eastAsia" w:ascii="宋体" w:hAnsi="宋体" w:cs="宋体"/>
          <w:kern w:val="0"/>
          <w:sz w:val="24"/>
          <w:lang w:val="zh-CN"/>
        </w:rPr>
        <w:t>3、特别提示：采购人将对项目名称和项目编号，成交供应商名称、成交金额予以公示。</w:t>
      </w:r>
    </w:p>
    <w:p>
      <w:pPr>
        <w:spacing w:line="360" w:lineRule="auto"/>
        <w:jc w:val="center"/>
        <w:rPr>
          <w:rFonts w:cs="仿宋" w:asciiTheme="minorEastAsia" w:hAnsiTheme="minorEastAsia"/>
          <w:b/>
          <w:spacing w:val="6"/>
          <w:sz w:val="32"/>
          <w:szCs w:val="32"/>
        </w:rPr>
      </w:pPr>
      <w:bookmarkStart w:id="519" w:name="_Toc465665161"/>
      <w:r>
        <w:rPr>
          <w:rFonts w:hint="eastAsia" w:cs="宋体" w:asciiTheme="minorEastAsia" w:hAnsiTheme="minorEastAsia"/>
          <w:b/>
          <w:bCs/>
          <w:kern w:val="44"/>
          <w:sz w:val="44"/>
          <w:szCs w:val="44"/>
        </w:rPr>
        <w:t>附件</w:t>
      </w:r>
      <w:bookmarkEnd w:id="519"/>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签字</w:t>
      </w:r>
      <w:r>
        <w:rPr>
          <w:rFonts w:hint="eastAsia" w:ascii="宋体" w:hAnsi="宋体" w:cs="宋体"/>
          <w:sz w:val="24"/>
          <w:lang w:eastAsia="zh-CN"/>
        </w:rPr>
        <w:t>（</w:t>
      </w:r>
      <w:r>
        <w:rPr>
          <w:rFonts w:hint="eastAsia" w:ascii="宋体" w:hAnsi="宋体" w:cs="宋体"/>
          <w:sz w:val="24"/>
        </w:rPr>
        <w:t>签章</w:t>
      </w:r>
      <w:r>
        <w:rPr>
          <w:rFonts w:hint="eastAsia" w:ascii="宋体" w:hAnsi="宋体" w:cs="宋体"/>
          <w:sz w:val="24"/>
          <w:lang w:eastAsia="zh-CN"/>
        </w:rPr>
        <w:t>）</w:t>
      </w:r>
      <w:r>
        <w:rPr>
          <w:rFonts w:hint="eastAsia" w:ascii="宋体" w:hAnsi="宋体" w:cs="宋体"/>
          <w:sz w:val="24"/>
        </w:rPr>
        <w:t xml:space="preserve">：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5"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pStyle w:val="13"/>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6"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w:t>
      </w:r>
      <w:r>
        <w:rPr>
          <w:rFonts w:hint="eastAsia" w:cs="仿宋" w:asciiTheme="minorEastAsia" w:hAnsiTheme="minorEastAsia"/>
          <w:sz w:val="24"/>
          <w:lang w:eastAsia="zh-CN"/>
        </w:rPr>
        <w:t>（</w:t>
      </w:r>
      <w:r>
        <w:rPr>
          <w:rFonts w:hint="eastAsia" w:cs="仿宋" w:asciiTheme="minorEastAsia" w:hAnsiTheme="minorEastAsia"/>
          <w:sz w:val="24"/>
        </w:rPr>
        <w:t>供应商全称</w:t>
      </w:r>
      <w:r>
        <w:rPr>
          <w:rFonts w:hint="eastAsia" w:cs="仿宋" w:asciiTheme="minorEastAsia" w:hAnsiTheme="minorEastAsia"/>
          <w:sz w:val="24"/>
          <w:lang w:eastAsia="zh-CN"/>
        </w:rPr>
        <w:t>）</w:t>
      </w:r>
      <w:r>
        <w:rPr>
          <w:rFonts w:hint="eastAsia" w:cs="仿宋" w:asciiTheme="minorEastAsia" w:hAnsiTheme="minorEastAsia"/>
          <w:sz w:val="24"/>
        </w:rPr>
        <w:t>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2024年临江公司意大利百得燃烧器备件</w:t>
      </w:r>
      <w:r>
        <w:rPr>
          <w:rFonts w:hint="eastAsia" w:cs="仿宋" w:asciiTheme="minorEastAsia" w:hAnsiTheme="minorEastAsia"/>
          <w:sz w:val="24"/>
          <w:u w:val="single"/>
        </w:rPr>
        <w:t>采购项目</w:t>
      </w:r>
      <w:r>
        <w:rPr>
          <w:rFonts w:hint="eastAsia" w:cs="仿宋" w:asciiTheme="minorEastAsia" w:hAnsiTheme="minorEastAsia"/>
          <w:sz w:val="24"/>
        </w:rPr>
        <w:t>【项目编号：</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202404033</w:t>
      </w:r>
      <w:r>
        <w:rPr>
          <w:rFonts w:hint="eastAsia" w:cs="仿宋" w:asciiTheme="minorEastAsia" w:hAnsiTheme="minorEastAsia"/>
          <w:sz w:val="24"/>
          <w:u w:val="single"/>
        </w:rPr>
        <w:t xml:space="preserve">  </w:t>
      </w:r>
      <w:r>
        <w:rPr>
          <w:rFonts w:hint="eastAsia" w:cs="仿宋" w:asciiTheme="minorEastAsia" w:hAnsiTheme="minorEastAsia"/>
          <w:sz w:val="24"/>
        </w:rPr>
        <w:t>】</w:t>
      </w:r>
      <w:r>
        <w:rPr>
          <w:rFonts w:hint="eastAsia" w:cs="仿宋" w:asciiTheme="minorEastAsia" w:hAnsiTheme="minorEastAsia"/>
          <w:bCs/>
          <w:sz w:val="24"/>
        </w:rPr>
        <w:t>响应活动中</w:t>
      </w:r>
      <w:r>
        <w:rPr>
          <w:rFonts w:hint="eastAsia" w:cs="仿宋" w:asciiTheme="minorEastAsia" w:hAnsiTheme="minorEastAsia"/>
          <w:bCs/>
          <w:sz w:val="24"/>
          <w:lang w:eastAsia="zh-CN"/>
        </w:rPr>
        <w:t>做如下</w:t>
      </w:r>
      <w:r>
        <w:rPr>
          <w:rFonts w:hint="eastAsia" w:cs="仿宋" w:asciiTheme="minorEastAsia" w:hAnsiTheme="minorEastAsia"/>
          <w:bCs/>
          <w:sz w:val="24"/>
        </w:rPr>
        <w:t>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3360"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3120;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rPr>
          <w:rFonts w:hint="eastAsia" w:cs="仿宋" w:asciiTheme="minorEastAsia" w:hAnsiTheme="minorEastAsia"/>
          <w:b/>
          <w:spacing w:val="6"/>
          <w:sz w:val="32"/>
          <w:szCs w:val="32"/>
        </w:rPr>
      </w:pPr>
      <w:r>
        <w:rPr>
          <w:rFonts w:hint="eastAsia" w:cs="仿宋" w:asciiTheme="minorEastAsia" w:hAnsiTheme="minorEastAsia"/>
          <w:b/>
          <w:spacing w:val="6"/>
          <w:sz w:val="32"/>
          <w:szCs w:val="32"/>
        </w:rPr>
        <w:br w:type="page"/>
      </w: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附件3：</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b/>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若成为2024年临江公司意大利百得燃烧器备件采购项目（项目编号：</w:t>
      </w:r>
      <w:r>
        <w:rPr>
          <w:rFonts w:hint="eastAsia" w:cs="仿宋" w:asciiTheme="minorEastAsia" w:hAnsiTheme="minorEastAsia"/>
          <w:kern w:val="0"/>
          <w:sz w:val="24"/>
          <w:lang w:val="zh-CN" w:eastAsia="zh-CN"/>
        </w:rPr>
        <w:t>202404033</w:t>
      </w:r>
      <w:r>
        <w:rPr>
          <w:rFonts w:hint="eastAsia" w:cs="仿宋" w:asciiTheme="minorEastAsia" w:hAnsiTheme="minorEastAsia"/>
          <w:kern w:val="0"/>
          <w:sz w:val="24"/>
          <w:lang w:val="zh-CN"/>
        </w:rPr>
        <w:t>）的成交供应商，将依法采取分包方式履行合同。</w:t>
      </w:r>
      <w:r>
        <w:rPr>
          <w:rFonts w:hint="eastAsia" w:cs="仿宋" w:asciiTheme="minorEastAsia" w:hAnsiTheme="minorEastAsia"/>
          <w:kern w:val="0"/>
          <w:sz w:val="24"/>
          <w:u w:val="single"/>
        </w:rPr>
        <w:t>（供应商名称）</w:t>
      </w:r>
      <w:r>
        <w:rPr>
          <w:rFonts w:hint="eastAsia" w:cs="仿宋" w:asciiTheme="minorEastAsia" w:hAnsiTheme="minorEastAsia"/>
          <w:kern w:val="0"/>
          <w:sz w:val="24"/>
        </w:rPr>
        <w:t>与</w:t>
      </w:r>
      <w:r>
        <w:rPr>
          <w:rFonts w:hint="eastAsia" w:cs="仿宋" w:asciiTheme="minorEastAsia" w:hAnsiTheme="minorEastAsia"/>
          <w:kern w:val="0"/>
          <w:sz w:val="24"/>
          <w:u w:val="single"/>
        </w:rPr>
        <w:t>（所有分包供应商名称）</w:t>
      </w:r>
      <w:r>
        <w:rPr>
          <w:rFonts w:hint="eastAsia" w:cs="仿宋" w:asciiTheme="minorEastAsia" w:hAnsiTheme="minorEastAsia"/>
          <w:kern w:val="0"/>
          <w:sz w:val="24"/>
        </w:rPr>
        <w:t>达成分包意向协议</w:t>
      </w:r>
      <w:r>
        <w:rPr>
          <w:rFonts w:hint="eastAsia" w:cs="仿宋" w:asciiTheme="minorEastAsia" w:hAnsiTheme="minorEastAsia"/>
          <w:kern w:val="0"/>
          <w:sz w:val="24"/>
          <w:lang w:val="zh-CN"/>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一、分包标的及数量</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将</w:t>
      </w:r>
      <w:r>
        <w:rPr>
          <w:rFonts w:hint="eastAsia" w:cs="仿宋" w:asciiTheme="minorEastAsia" w:hAnsiTheme="minorEastAsia"/>
          <w:kern w:val="0"/>
          <w:sz w:val="24"/>
          <w:u w:val="single"/>
        </w:rPr>
        <w:t xml:space="preserve"> XX工作内容   </w:t>
      </w:r>
      <w:r>
        <w:rPr>
          <w:rFonts w:hint="eastAsia" w:cs="仿宋" w:asciiTheme="minorEastAsia" w:hAnsiTheme="minorEastAsia"/>
          <w:sz w:val="24"/>
        </w:rPr>
        <w:t>分包给</w:t>
      </w:r>
      <w:r>
        <w:rPr>
          <w:rFonts w:hint="eastAsia" w:cs="仿宋" w:asciiTheme="minorEastAsia" w:hAnsiTheme="minorEastAsia"/>
          <w:kern w:val="0"/>
          <w:sz w:val="24"/>
          <w:u w:val="single"/>
        </w:rPr>
        <w:t>（分包供应商1名称）</w:t>
      </w:r>
      <w:r>
        <w:rPr>
          <w:rFonts w:hint="eastAsia" w:cs="仿宋" w:asciiTheme="minorEastAsia" w:hAnsiTheme="minorEastAsia"/>
          <w:kern w:val="0"/>
          <w:sz w:val="24"/>
          <w:lang w:val="zh-CN"/>
        </w:rPr>
        <w:t>，</w:t>
      </w:r>
      <w:r>
        <w:rPr>
          <w:rFonts w:hint="eastAsia" w:cs="仿宋" w:asciiTheme="minorEastAsia" w:hAnsiTheme="minorEastAsia"/>
          <w:kern w:val="0"/>
          <w:sz w:val="24"/>
          <w:u w:val="single"/>
        </w:rPr>
        <w:t>（分包供应商2名称），</w:t>
      </w:r>
      <w:r>
        <w:rPr>
          <w:rFonts w:hint="eastAsia" w:cs="仿宋" w:asciiTheme="minorEastAsia" w:hAnsiTheme="minorEastAsia"/>
          <w:kern w:val="0"/>
          <w:sz w:val="24"/>
          <w:lang w:val="zh-CN"/>
        </w:rPr>
        <w:t>具备承</w:t>
      </w:r>
      <w:r>
        <w:rPr>
          <w:rFonts w:hint="eastAsia" w:cs="仿宋" w:asciiTheme="minorEastAsia" w:hAnsiTheme="minorEastAsia"/>
          <w:kern w:val="0"/>
          <w:sz w:val="24"/>
        </w:rPr>
        <w:t>担</w:t>
      </w:r>
      <w:r>
        <w:rPr>
          <w:rFonts w:hint="eastAsia" w:cs="仿宋" w:asciiTheme="minorEastAsia" w:hAnsiTheme="minorEastAsia"/>
          <w:kern w:val="0"/>
          <w:sz w:val="24"/>
          <w:u w:val="single"/>
          <w:lang w:val="zh-CN"/>
        </w:rPr>
        <w:t>XX工作内容</w:t>
      </w:r>
      <w:r>
        <w:rPr>
          <w:rFonts w:hint="eastAsia" w:cs="仿宋" w:asciiTheme="minorEastAsia" w:hAnsiTheme="minorEastAsia"/>
          <w:kern w:val="0"/>
          <w:sz w:val="24"/>
          <w:lang w:val="zh-CN"/>
        </w:rPr>
        <w:t>相应资质条件且不得再次分包；</w:t>
      </w:r>
    </w:p>
    <w:p>
      <w:pPr>
        <w:pStyle w:val="4"/>
        <w:tabs>
          <w:tab w:val="left" w:pos="432"/>
          <w:tab w:val="left" w:pos="864"/>
          <w:tab w:val="left" w:pos="900"/>
        </w:tabs>
        <w:ind w:left="664" w:leftChars="316" w:firstLine="229"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三、质量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四、价款或者报酬</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3" w:leftChars="273"/>
        <w:rPr>
          <w:rFonts w:cs="仿宋" w:asciiTheme="minorEastAsia" w:hAnsiTheme="minorEastAsia"/>
          <w:kern w:val="0"/>
          <w:sz w:val="24"/>
          <w:lang w:val="zh-CN"/>
        </w:rPr>
      </w:pPr>
      <w:r>
        <w:rPr>
          <w:rFonts w:hint="eastAsia" w:cs="仿宋" w:asciiTheme="minorEastAsia" w:hAnsiTheme="minorEastAsia"/>
          <w:kern w:val="0"/>
          <w:sz w:val="24"/>
          <w:lang w:val="zh-CN"/>
        </w:rPr>
        <w:t>五、违约责任</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六、争议解决的办法</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58" w:leftChars="342" w:hanging="5040" w:hangingChars="2100"/>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供应商名称（签名）：</w:t>
      </w:r>
    </w:p>
    <w:p>
      <w:pPr>
        <w:snapToGrid w:val="0"/>
        <w:spacing w:line="360" w:lineRule="auto"/>
        <w:ind w:firstLine="4560" w:firstLineChars="1900"/>
        <w:rPr>
          <w:rFonts w:cs="仿宋" w:asciiTheme="minorEastAsia" w:hAnsiTheme="minorEastAsia"/>
          <w:kern w:val="0"/>
          <w:sz w:val="24"/>
          <w:lang w:val="zh-CN"/>
        </w:rPr>
      </w:pPr>
      <w:r>
        <w:rPr>
          <w:rFonts w:hint="eastAsia" w:cs="仿宋" w:asciiTheme="minorEastAsia" w:hAnsiTheme="minorEastAsia"/>
          <w:kern w:val="0"/>
          <w:sz w:val="24"/>
          <w:lang w:val="zh-CN"/>
        </w:rPr>
        <w:t>分包供应商名称：（</w:t>
      </w:r>
      <w:r>
        <w:rPr>
          <w:rFonts w:hint="eastAsia" w:ascii="宋体" w:hAnsi="宋体" w:cs="宋体"/>
          <w:kern w:val="0"/>
          <w:sz w:val="24"/>
          <w:lang w:val="zh-CN"/>
        </w:rPr>
        <w:t>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autoSpaceDE w:val="0"/>
        <w:autoSpaceDN w:val="0"/>
        <w:jc w:val="center"/>
        <w:rPr>
          <w:rFonts w:cs="仿宋" w:asciiTheme="minorEastAsia" w:hAnsiTheme="minorEastAsia"/>
          <w:b/>
        </w:rPr>
      </w:pPr>
      <w:r>
        <w:rPr>
          <w:rFonts w:hint="eastAsia" w:cs="仿宋" w:asciiTheme="minorEastAsia" w:hAnsiTheme="minorEastAsia"/>
          <w:kern w:val="0"/>
          <w:sz w:val="24"/>
          <w:lang w:val="zh-CN"/>
        </w:rPr>
        <w:t xml:space="preserve">                                        日期：  年  月   日</w:t>
      </w:r>
    </w:p>
    <w:p>
      <w:pPr>
        <w:pStyle w:val="7"/>
      </w:pPr>
    </w:p>
    <w:p>
      <w:pPr>
        <w:pStyle w:val="8"/>
      </w:pPr>
    </w:p>
    <w:p>
      <w:pPr>
        <w:pStyle w:val="14"/>
      </w:pPr>
    </w:p>
    <w:p/>
    <w:p>
      <w:pPr>
        <w:pStyle w:val="10"/>
        <w:spacing w:before="100" w:beforeAutospacing="1" w:after="100" w:afterAutospacing="1" w:line="360" w:lineRule="auto"/>
        <w:jc w:val="both"/>
        <w:rPr>
          <w:rFonts w:hAnsi="宋体" w:cs="宋体"/>
          <w:b/>
          <w:sz w:val="32"/>
          <w:szCs w:val="32"/>
        </w:rPr>
      </w:pPr>
      <w:r>
        <w:rPr>
          <w:rFonts w:hint="eastAsia" w:hAnsi="宋体" w:cs="宋体"/>
          <w:b/>
          <w:sz w:val="32"/>
          <w:szCs w:val="32"/>
          <w:lang w:val="en-US" w:eastAsia="zh-CN"/>
        </w:rPr>
        <w:t xml:space="preserve">附件4           </w:t>
      </w:r>
      <w:r>
        <w:rPr>
          <w:rFonts w:hint="eastAsia" w:hAnsi="宋体" w:cs="宋体"/>
          <w:b/>
          <w:sz w:val="32"/>
          <w:szCs w:val="32"/>
        </w:rPr>
        <w:t>退还</w:t>
      </w:r>
      <w:r>
        <w:rPr>
          <w:rFonts w:hint="eastAsia" w:hAnsi="宋体" w:cs="宋体"/>
          <w:b/>
          <w:sz w:val="32"/>
          <w:szCs w:val="32"/>
          <w:lang w:val="en-US" w:eastAsia="zh-CN"/>
        </w:rPr>
        <w:t>询价</w:t>
      </w:r>
      <w:r>
        <w:rPr>
          <w:rFonts w:hint="eastAsia" w:hAnsi="宋体" w:cs="宋体"/>
          <w:b/>
          <w:sz w:val="32"/>
          <w:szCs w:val="32"/>
        </w:rPr>
        <w:t>保证金申请书</w:t>
      </w: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p>
    <w:p>
      <w:pPr>
        <w:spacing w:line="360" w:lineRule="auto"/>
        <w:ind w:firstLine="480"/>
        <w:rPr>
          <w:rFonts w:ascii="宋体" w:hAnsi="宋体" w:cs="宋体"/>
          <w:sz w:val="24"/>
        </w:rPr>
      </w:pPr>
      <w:r>
        <w:rPr>
          <w:rFonts w:hint="eastAsia" w:ascii="宋体" w:hAnsi="宋体" w:cs="宋体"/>
          <w:sz w:val="24"/>
        </w:rPr>
        <w:t>我公司参加了贵司的</w:t>
      </w:r>
      <w:r>
        <w:rPr>
          <w:rFonts w:hint="eastAsia" w:ascii="宋体" w:hAnsi="宋体" w:cs="宋体"/>
          <w:sz w:val="24"/>
          <w:u w:val="single"/>
        </w:rPr>
        <w:t xml:space="preserve">  </w:t>
      </w:r>
      <w:r>
        <w:rPr>
          <w:rFonts w:hint="eastAsia" w:ascii="宋体" w:hAnsi="宋体" w:cs="宋体"/>
          <w:sz w:val="24"/>
          <w:lang w:val="en-US" w:eastAsia="zh-CN"/>
        </w:rPr>
        <w:t xml:space="preserve"> 2024年临江公司意大利百得燃烧器备件采购项目（项目编号：202404033）的报价</w:t>
      </w:r>
      <w:r>
        <w:rPr>
          <w:rFonts w:hint="eastAsia" w:ascii="宋体" w:hAnsi="宋体" w:cs="宋体"/>
          <w:sz w:val="24"/>
        </w:rPr>
        <w:t>，现申请退还该笔</w:t>
      </w:r>
      <w:r>
        <w:rPr>
          <w:rFonts w:hint="eastAsia" w:ascii="宋体" w:hAnsi="宋体" w:cs="宋体"/>
          <w:sz w:val="24"/>
          <w:lang w:eastAsia="zh-CN"/>
        </w:rPr>
        <w:t>相应</w:t>
      </w:r>
      <w:r>
        <w:rPr>
          <w:rFonts w:hint="eastAsia" w:ascii="宋体" w:hAnsi="宋体" w:cs="宋体"/>
          <w:sz w:val="24"/>
        </w:rPr>
        <w:t>保证金，本申请书也作为收款凭证。</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4084"/>
        <w:gridCol w:w="1607"/>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申请人信息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供应商（加盖公章或财务专用章）：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财务联系人：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项目负责人：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lang w:eastAsia="zh-CN"/>
              </w:rPr>
              <w:t>响应</w:t>
            </w:r>
            <w:r>
              <w:rPr>
                <w:rFonts w:hint="eastAsia" w:ascii="宋体" w:hAnsi="宋体" w:cs="宋体"/>
                <w:sz w:val="24"/>
              </w:rPr>
              <w:t>保证金金额（大写）：人民币</w:t>
            </w:r>
          </w:p>
          <w:p>
            <w:pPr>
              <w:spacing w:line="360" w:lineRule="auto"/>
              <w:rPr>
                <w:rFonts w:ascii="宋体" w:hAnsi="宋体" w:cs="宋体"/>
                <w:sz w:val="24"/>
              </w:rPr>
            </w:pPr>
            <w:r>
              <w:rPr>
                <w:rFonts w:hint="eastAsia" w:ascii="宋体" w:hAnsi="宋体" w:cs="宋体"/>
                <w:sz w:val="24"/>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lang w:eastAsia="zh-CN"/>
              </w:rPr>
              <w:t>响应</w:t>
            </w:r>
            <w:r>
              <w:rPr>
                <w:rFonts w:hint="eastAsia" w:ascii="宋体" w:hAnsi="宋体" w:cs="宋体"/>
                <w:sz w:val="24"/>
              </w:rPr>
              <w:t>保证金提交形式： □转账支票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退还账户信息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银行账号：</w:t>
            </w:r>
          </w:p>
        </w:tc>
      </w:tr>
    </w:tbl>
    <w:p>
      <w:pPr>
        <w:pStyle w:val="7"/>
        <w:rPr>
          <w:rFonts w:ascii="宋体" w:hAnsi="宋体" w:cs="宋体"/>
        </w:rPr>
      </w:pPr>
    </w:p>
    <w:p>
      <w:pPr>
        <w:pBdr>
          <w:top w:val="single" w:color="auto" w:sz="4" w:space="1"/>
          <w:left w:val="single" w:color="auto" w:sz="4" w:space="4"/>
          <w:bottom w:val="single" w:color="auto" w:sz="4" w:space="1"/>
          <w:right w:val="single" w:color="auto" w:sz="4" w:space="0"/>
        </w:pBdr>
        <w:spacing w:line="360" w:lineRule="auto"/>
        <w:jc w:val="center"/>
        <w:rPr>
          <w:rFonts w:ascii="宋体" w:hAnsi="宋体" w:cs="宋体"/>
          <w:b/>
          <w:sz w:val="24"/>
        </w:rPr>
      </w:pPr>
      <w:r>
        <w:rPr>
          <w:rFonts w:hint="eastAsia" w:ascii="宋体" w:hAnsi="宋体" w:cs="宋体"/>
          <w:b/>
          <w:sz w:val="24"/>
        </w:rPr>
        <w:t>收 据</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兹收到</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r>
        <w:rPr>
          <w:rFonts w:hint="eastAsia" w:ascii="宋体" w:hAnsi="宋体" w:cs="宋体"/>
          <w:sz w:val="24"/>
        </w:rPr>
        <w:t>退回</w:t>
      </w:r>
      <w:r>
        <w:rPr>
          <w:rFonts w:hint="eastAsia" w:ascii="宋体" w:hAnsi="宋体" w:cs="宋体"/>
          <w:sz w:val="24"/>
          <w:u w:val="single"/>
        </w:rPr>
        <w:t xml:space="preserve">  （采购项目名称） </w:t>
      </w:r>
      <w:r>
        <w:rPr>
          <w:rFonts w:hint="eastAsia" w:ascii="宋体" w:hAnsi="宋体" w:cs="宋体"/>
          <w:sz w:val="24"/>
        </w:rPr>
        <w:t>项目（采购编号</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sz w:val="24"/>
          <w:lang w:eastAsia="zh-CN"/>
        </w:rPr>
        <w:t>询价</w:t>
      </w:r>
      <w:r>
        <w:rPr>
          <w:rFonts w:hint="eastAsia" w:ascii="宋体" w:hAnsi="宋体" w:cs="宋体"/>
          <w:sz w:val="24"/>
        </w:rPr>
        <w:t>保证金。金额为：大写（人民币：             ），小写（RMB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收款单位名称：        （</w:t>
      </w:r>
      <w:r>
        <w:rPr>
          <w:rFonts w:hint="eastAsia" w:ascii="宋体" w:hAnsi="宋体" w:cs="宋体"/>
          <w:b/>
          <w:i/>
          <w:sz w:val="24"/>
        </w:rPr>
        <w:t>加盖公章或财务专用章</w:t>
      </w:r>
      <w:r>
        <w:rPr>
          <w:rFonts w:hint="eastAsia" w:ascii="宋体" w:hAnsi="宋体" w:cs="宋体"/>
          <w:sz w:val="24"/>
        </w:rPr>
        <w:t>）</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日期：                                                                       </w:t>
      </w:r>
    </w:p>
    <w:p>
      <w:pPr>
        <w:pStyle w:val="10"/>
        <w:rPr>
          <w:rFonts w:hAnsi="宋体" w:eastAsia="宋体" w:cs="宋体"/>
          <w:color w:val="000000" w:themeColor="text1"/>
          <w:spacing w:val="10"/>
          <w14:textFill>
            <w14:solidFill>
              <w14:schemeClr w14:val="tx1"/>
            </w14:solidFill>
          </w14:textFill>
        </w:rPr>
      </w:pPr>
      <w:r>
        <w:rPr>
          <w:rFonts w:hint="eastAsia" w:hAnsi="宋体" w:cs="宋体"/>
          <w:b/>
          <w:bCs/>
          <w:sz w:val="24"/>
        </w:rPr>
        <w:t>备注：退还</w:t>
      </w:r>
      <w:r>
        <w:rPr>
          <w:rFonts w:hint="eastAsia" w:hAnsi="宋体" w:cs="宋体"/>
          <w:b/>
          <w:bCs/>
          <w:sz w:val="24"/>
          <w:lang w:val="en-US" w:eastAsia="zh-CN"/>
        </w:rPr>
        <w:t>询价</w:t>
      </w:r>
      <w:r>
        <w:rPr>
          <w:rFonts w:hint="eastAsia" w:hAnsi="宋体" w:cs="宋体"/>
          <w:b/>
          <w:bCs/>
          <w:sz w:val="24"/>
        </w:rPr>
        <w:t>保证金申请书可以在</w:t>
      </w:r>
      <w:r>
        <w:rPr>
          <w:rFonts w:hint="eastAsia" w:hAnsi="宋体" w:cs="宋体"/>
          <w:b/>
          <w:bCs/>
          <w:sz w:val="24"/>
          <w:lang w:eastAsia="zh-CN"/>
        </w:rPr>
        <w:t>询价</w:t>
      </w:r>
      <w:r>
        <w:rPr>
          <w:rFonts w:hint="eastAsia" w:hAnsi="宋体" w:cs="宋体"/>
          <w:b/>
          <w:bCs/>
          <w:sz w:val="24"/>
        </w:rPr>
        <w:t>当日同</w:t>
      </w:r>
      <w:r>
        <w:rPr>
          <w:rFonts w:hint="eastAsia" w:hAnsi="宋体" w:cs="宋体"/>
          <w:b/>
          <w:bCs/>
          <w:sz w:val="24"/>
          <w:lang w:val="en-US" w:eastAsia="zh-CN"/>
        </w:rPr>
        <w:t>报价</w:t>
      </w:r>
      <w:r>
        <w:rPr>
          <w:rFonts w:hint="eastAsia" w:hAnsi="宋体" w:cs="宋体"/>
          <w:b/>
          <w:bCs/>
          <w:sz w:val="24"/>
        </w:rPr>
        <w:t>文件一起带到</w:t>
      </w:r>
      <w:r>
        <w:rPr>
          <w:rFonts w:hint="eastAsia" w:hAnsi="宋体" w:cs="宋体"/>
          <w:b/>
          <w:bCs/>
          <w:sz w:val="24"/>
          <w:lang w:val="en-US" w:eastAsia="zh-CN"/>
        </w:rPr>
        <w:t>开启</w:t>
      </w:r>
      <w:r>
        <w:rPr>
          <w:rFonts w:hint="eastAsia" w:hAnsi="宋体" w:cs="宋体"/>
          <w:b/>
          <w:bCs/>
          <w:sz w:val="24"/>
        </w:rPr>
        <w:t>现场并交给采购人，并收据生效之日为采购人退还响应保证金之日。</w:t>
      </w:r>
    </w:p>
    <w:p>
      <w:pPr>
        <w:autoSpaceDE w:val="0"/>
        <w:autoSpaceDN w:val="0"/>
        <w:rPr>
          <w:rFonts w:cs="仿宋" w:asciiTheme="minorEastAsia" w:hAnsiTheme="minorEastAsia"/>
          <w:b/>
          <w:spacing w:val="6"/>
          <w:sz w:val="32"/>
          <w:szCs w:val="32"/>
        </w:rPr>
      </w:pPr>
    </w:p>
    <w:p/>
    <w:sectPr>
      <w:footerReference r:id="rId17"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jODNjNjE4Y2U2ZWJjYTMzYTk3NGZjY2FkYmE1ZGUifQ=="/>
  </w:docVars>
  <w:rsids>
    <w:rsidRoot w:val="004E73AF"/>
    <w:rsid w:val="00035004"/>
    <w:rsid w:val="00074C89"/>
    <w:rsid w:val="001133B9"/>
    <w:rsid w:val="001147F1"/>
    <w:rsid w:val="001165E0"/>
    <w:rsid w:val="00127A0A"/>
    <w:rsid w:val="00136EC0"/>
    <w:rsid w:val="00141074"/>
    <w:rsid w:val="001A51AD"/>
    <w:rsid w:val="00211F61"/>
    <w:rsid w:val="0022087B"/>
    <w:rsid w:val="00274DBE"/>
    <w:rsid w:val="00283997"/>
    <w:rsid w:val="002917F0"/>
    <w:rsid w:val="002A3CA8"/>
    <w:rsid w:val="002D7D54"/>
    <w:rsid w:val="00315D0F"/>
    <w:rsid w:val="00317CD4"/>
    <w:rsid w:val="00326A15"/>
    <w:rsid w:val="00344361"/>
    <w:rsid w:val="00350FC4"/>
    <w:rsid w:val="003513B0"/>
    <w:rsid w:val="00395767"/>
    <w:rsid w:val="003E07FE"/>
    <w:rsid w:val="003F7D49"/>
    <w:rsid w:val="00431394"/>
    <w:rsid w:val="00433F80"/>
    <w:rsid w:val="00466F38"/>
    <w:rsid w:val="00481CD1"/>
    <w:rsid w:val="00483A46"/>
    <w:rsid w:val="004A590E"/>
    <w:rsid w:val="004B0AA1"/>
    <w:rsid w:val="004B7D77"/>
    <w:rsid w:val="004C73BB"/>
    <w:rsid w:val="004D4360"/>
    <w:rsid w:val="004E1503"/>
    <w:rsid w:val="004E73AF"/>
    <w:rsid w:val="004F0AF5"/>
    <w:rsid w:val="004F7A0D"/>
    <w:rsid w:val="00505519"/>
    <w:rsid w:val="005957D7"/>
    <w:rsid w:val="005975A7"/>
    <w:rsid w:val="005C3DA6"/>
    <w:rsid w:val="005F661C"/>
    <w:rsid w:val="00611983"/>
    <w:rsid w:val="006C4E8F"/>
    <w:rsid w:val="006E50E5"/>
    <w:rsid w:val="006F4F36"/>
    <w:rsid w:val="007357A7"/>
    <w:rsid w:val="00742650"/>
    <w:rsid w:val="007534BC"/>
    <w:rsid w:val="00776144"/>
    <w:rsid w:val="00786ECB"/>
    <w:rsid w:val="007A463C"/>
    <w:rsid w:val="00816543"/>
    <w:rsid w:val="00867F45"/>
    <w:rsid w:val="00875BDC"/>
    <w:rsid w:val="00890CAB"/>
    <w:rsid w:val="00892E4C"/>
    <w:rsid w:val="00903B90"/>
    <w:rsid w:val="00935EC2"/>
    <w:rsid w:val="00942F39"/>
    <w:rsid w:val="009600FE"/>
    <w:rsid w:val="00966874"/>
    <w:rsid w:val="009736C6"/>
    <w:rsid w:val="00975FC5"/>
    <w:rsid w:val="00A17A16"/>
    <w:rsid w:val="00A3330D"/>
    <w:rsid w:val="00A46601"/>
    <w:rsid w:val="00A51191"/>
    <w:rsid w:val="00A630D7"/>
    <w:rsid w:val="00A73D11"/>
    <w:rsid w:val="00A905AF"/>
    <w:rsid w:val="00A90F9A"/>
    <w:rsid w:val="00AD63C2"/>
    <w:rsid w:val="00B07847"/>
    <w:rsid w:val="00B1484D"/>
    <w:rsid w:val="00B95EBA"/>
    <w:rsid w:val="00BC2A0C"/>
    <w:rsid w:val="00BE1D3B"/>
    <w:rsid w:val="00C230CA"/>
    <w:rsid w:val="00C3645A"/>
    <w:rsid w:val="00CD43E8"/>
    <w:rsid w:val="00CF62BF"/>
    <w:rsid w:val="00D00625"/>
    <w:rsid w:val="00D31B45"/>
    <w:rsid w:val="00D32664"/>
    <w:rsid w:val="00D627B0"/>
    <w:rsid w:val="00D746C1"/>
    <w:rsid w:val="00D90BE0"/>
    <w:rsid w:val="00DC01CF"/>
    <w:rsid w:val="00E81C9E"/>
    <w:rsid w:val="00ED40A4"/>
    <w:rsid w:val="00EF4861"/>
    <w:rsid w:val="00F05858"/>
    <w:rsid w:val="00F37DBE"/>
    <w:rsid w:val="00F97F02"/>
    <w:rsid w:val="013853AC"/>
    <w:rsid w:val="023E1286"/>
    <w:rsid w:val="030669ED"/>
    <w:rsid w:val="03247659"/>
    <w:rsid w:val="032B7E17"/>
    <w:rsid w:val="034B5FC8"/>
    <w:rsid w:val="036F6D1F"/>
    <w:rsid w:val="04E634F4"/>
    <w:rsid w:val="0560423F"/>
    <w:rsid w:val="05B622F4"/>
    <w:rsid w:val="06803F38"/>
    <w:rsid w:val="07013F3A"/>
    <w:rsid w:val="078B333A"/>
    <w:rsid w:val="07C24B12"/>
    <w:rsid w:val="07D15ABF"/>
    <w:rsid w:val="087E795F"/>
    <w:rsid w:val="09360ABE"/>
    <w:rsid w:val="09EC7123"/>
    <w:rsid w:val="09ED56C9"/>
    <w:rsid w:val="0B530D41"/>
    <w:rsid w:val="0BF7590B"/>
    <w:rsid w:val="0C492847"/>
    <w:rsid w:val="0CF31D21"/>
    <w:rsid w:val="0F111837"/>
    <w:rsid w:val="0F81598B"/>
    <w:rsid w:val="0FAF77EB"/>
    <w:rsid w:val="0FB91E94"/>
    <w:rsid w:val="11C46A46"/>
    <w:rsid w:val="123211CE"/>
    <w:rsid w:val="12AC7BF1"/>
    <w:rsid w:val="12E110C3"/>
    <w:rsid w:val="1417290D"/>
    <w:rsid w:val="143E2438"/>
    <w:rsid w:val="15CB2DA0"/>
    <w:rsid w:val="16583B40"/>
    <w:rsid w:val="166F3635"/>
    <w:rsid w:val="16806E74"/>
    <w:rsid w:val="17337317"/>
    <w:rsid w:val="17361246"/>
    <w:rsid w:val="17AF353E"/>
    <w:rsid w:val="185870FA"/>
    <w:rsid w:val="185A544F"/>
    <w:rsid w:val="18890233"/>
    <w:rsid w:val="190D49C0"/>
    <w:rsid w:val="19141666"/>
    <w:rsid w:val="198737C7"/>
    <w:rsid w:val="19976A31"/>
    <w:rsid w:val="19DC6BDA"/>
    <w:rsid w:val="1A175584"/>
    <w:rsid w:val="1AA56FDE"/>
    <w:rsid w:val="1B1B25BA"/>
    <w:rsid w:val="1B7913A6"/>
    <w:rsid w:val="1D61352C"/>
    <w:rsid w:val="1DFA0457"/>
    <w:rsid w:val="1E3D5AD5"/>
    <w:rsid w:val="1E5F5CBE"/>
    <w:rsid w:val="1E8307F5"/>
    <w:rsid w:val="1ED25627"/>
    <w:rsid w:val="1EEB52A4"/>
    <w:rsid w:val="1F457921"/>
    <w:rsid w:val="20D12777"/>
    <w:rsid w:val="20DA16AF"/>
    <w:rsid w:val="20FB672E"/>
    <w:rsid w:val="213339C4"/>
    <w:rsid w:val="21677697"/>
    <w:rsid w:val="228D26CE"/>
    <w:rsid w:val="22916FA5"/>
    <w:rsid w:val="247C6E9E"/>
    <w:rsid w:val="25650E5F"/>
    <w:rsid w:val="26010880"/>
    <w:rsid w:val="26F15921"/>
    <w:rsid w:val="294E0F60"/>
    <w:rsid w:val="2987716A"/>
    <w:rsid w:val="29AE18A7"/>
    <w:rsid w:val="2A400755"/>
    <w:rsid w:val="2A6366FF"/>
    <w:rsid w:val="2B3D5BF4"/>
    <w:rsid w:val="2BD1572D"/>
    <w:rsid w:val="2C4141D8"/>
    <w:rsid w:val="2DC84F02"/>
    <w:rsid w:val="2EE04B90"/>
    <w:rsid w:val="2F4D3609"/>
    <w:rsid w:val="2F5836E9"/>
    <w:rsid w:val="30062480"/>
    <w:rsid w:val="30556F21"/>
    <w:rsid w:val="308C5F1F"/>
    <w:rsid w:val="31111553"/>
    <w:rsid w:val="314B6E80"/>
    <w:rsid w:val="321D777A"/>
    <w:rsid w:val="32843E96"/>
    <w:rsid w:val="336049BB"/>
    <w:rsid w:val="3437693D"/>
    <w:rsid w:val="34454474"/>
    <w:rsid w:val="34AF40BC"/>
    <w:rsid w:val="36162BCB"/>
    <w:rsid w:val="36A71B58"/>
    <w:rsid w:val="36B41FB6"/>
    <w:rsid w:val="37103BA1"/>
    <w:rsid w:val="37514AF4"/>
    <w:rsid w:val="376E26A2"/>
    <w:rsid w:val="377C0298"/>
    <w:rsid w:val="37B04D36"/>
    <w:rsid w:val="37C62712"/>
    <w:rsid w:val="39C31C6C"/>
    <w:rsid w:val="3A6303AE"/>
    <w:rsid w:val="3A971178"/>
    <w:rsid w:val="3A993EAE"/>
    <w:rsid w:val="3AB61186"/>
    <w:rsid w:val="3B1E2F1E"/>
    <w:rsid w:val="3BE73C23"/>
    <w:rsid w:val="3C283344"/>
    <w:rsid w:val="3C485F9D"/>
    <w:rsid w:val="3C7C70D7"/>
    <w:rsid w:val="3C940DD1"/>
    <w:rsid w:val="3CC56A1B"/>
    <w:rsid w:val="3DB21669"/>
    <w:rsid w:val="3E0C6463"/>
    <w:rsid w:val="3EE43BF5"/>
    <w:rsid w:val="403E57B7"/>
    <w:rsid w:val="40434A7C"/>
    <w:rsid w:val="405C7B03"/>
    <w:rsid w:val="411A0F39"/>
    <w:rsid w:val="414D0673"/>
    <w:rsid w:val="415A5C88"/>
    <w:rsid w:val="41CE08E1"/>
    <w:rsid w:val="42112513"/>
    <w:rsid w:val="42114191"/>
    <w:rsid w:val="42646A77"/>
    <w:rsid w:val="42A8742D"/>
    <w:rsid w:val="433C7ACC"/>
    <w:rsid w:val="435518AD"/>
    <w:rsid w:val="43C04259"/>
    <w:rsid w:val="43FF7FEC"/>
    <w:rsid w:val="44C67F95"/>
    <w:rsid w:val="4559568A"/>
    <w:rsid w:val="45A47533"/>
    <w:rsid w:val="45FB363F"/>
    <w:rsid w:val="46A51706"/>
    <w:rsid w:val="46BC402D"/>
    <w:rsid w:val="472961BF"/>
    <w:rsid w:val="475528CD"/>
    <w:rsid w:val="476B5921"/>
    <w:rsid w:val="47B265AF"/>
    <w:rsid w:val="487057D4"/>
    <w:rsid w:val="496717C4"/>
    <w:rsid w:val="4A063A4F"/>
    <w:rsid w:val="4A875AD1"/>
    <w:rsid w:val="4AE27CAC"/>
    <w:rsid w:val="4B077E72"/>
    <w:rsid w:val="4B1B2ECF"/>
    <w:rsid w:val="4B6E282F"/>
    <w:rsid w:val="4BAC48C9"/>
    <w:rsid w:val="4BB27DC6"/>
    <w:rsid w:val="4C6530B0"/>
    <w:rsid w:val="4CEA2347"/>
    <w:rsid w:val="4D243428"/>
    <w:rsid w:val="4D2D7FC0"/>
    <w:rsid w:val="4E1E04FA"/>
    <w:rsid w:val="4EFA25EF"/>
    <w:rsid w:val="4F9246A8"/>
    <w:rsid w:val="4FEB08B0"/>
    <w:rsid w:val="50A13664"/>
    <w:rsid w:val="51937E4D"/>
    <w:rsid w:val="51C11B97"/>
    <w:rsid w:val="52383592"/>
    <w:rsid w:val="523875F5"/>
    <w:rsid w:val="52506204"/>
    <w:rsid w:val="53FA1DF3"/>
    <w:rsid w:val="54AB2D04"/>
    <w:rsid w:val="54DA02E3"/>
    <w:rsid w:val="557B35BC"/>
    <w:rsid w:val="565C1CF5"/>
    <w:rsid w:val="571F3A0C"/>
    <w:rsid w:val="573251FB"/>
    <w:rsid w:val="57F2034A"/>
    <w:rsid w:val="58207565"/>
    <w:rsid w:val="58235318"/>
    <w:rsid w:val="59121C77"/>
    <w:rsid w:val="59176EF5"/>
    <w:rsid w:val="59DE0E09"/>
    <w:rsid w:val="59DF6851"/>
    <w:rsid w:val="5A283DD0"/>
    <w:rsid w:val="5ACD76EE"/>
    <w:rsid w:val="5AD36B10"/>
    <w:rsid w:val="5B366E46"/>
    <w:rsid w:val="5B3D7F5F"/>
    <w:rsid w:val="5B460326"/>
    <w:rsid w:val="5E0474EB"/>
    <w:rsid w:val="5F0279C4"/>
    <w:rsid w:val="5F944466"/>
    <w:rsid w:val="60844C26"/>
    <w:rsid w:val="60992897"/>
    <w:rsid w:val="60A9029A"/>
    <w:rsid w:val="60C279EE"/>
    <w:rsid w:val="60F21DC8"/>
    <w:rsid w:val="60FA16F8"/>
    <w:rsid w:val="6139287F"/>
    <w:rsid w:val="61B02315"/>
    <w:rsid w:val="63CF15A0"/>
    <w:rsid w:val="65A92947"/>
    <w:rsid w:val="661A50B7"/>
    <w:rsid w:val="673E5F91"/>
    <w:rsid w:val="67D6317A"/>
    <w:rsid w:val="67D649B5"/>
    <w:rsid w:val="68ED6365"/>
    <w:rsid w:val="6A4E3ABD"/>
    <w:rsid w:val="6AE63D7E"/>
    <w:rsid w:val="6B462C2B"/>
    <w:rsid w:val="6B8359E9"/>
    <w:rsid w:val="6BD277B9"/>
    <w:rsid w:val="6C321620"/>
    <w:rsid w:val="6DA02882"/>
    <w:rsid w:val="6DA12E69"/>
    <w:rsid w:val="6DBB3B60"/>
    <w:rsid w:val="6F0B4673"/>
    <w:rsid w:val="6F8E6CAC"/>
    <w:rsid w:val="700E4F44"/>
    <w:rsid w:val="70173239"/>
    <w:rsid w:val="711D3FA5"/>
    <w:rsid w:val="71AE7596"/>
    <w:rsid w:val="721A5B23"/>
    <w:rsid w:val="72B931C1"/>
    <w:rsid w:val="734A515C"/>
    <w:rsid w:val="73604AC1"/>
    <w:rsid w:val="737C09CA"/>
    <w:rsid w:val="738D03F5"/>
    <w:rsid w:val="73E442FB"/>
    <w:rsid w:val="75D112A9"/>
    <w:rsid w:val="76632274"/>
    <w:rsid w:val="767E5B01"/>
    <w:rsid w:val="76DE154F"/>
    <w:rsid w:val="778F44F9"/>
    <w:rsid w:val="77F2017E"/>
    <w:rsid w:val="79017606"/>
    <w:rsid w:val="79D7762B"/>
    <w:rsid w:val="79EB254B"/>
    <w:rsid w:val="7BA82ABD"/>
    <w:rsid w:val="7C757EAB"/>
    <w:rsid w:val="7D0A41BC"/>
    <w:rsid w:val="7D0A4B32"/>
    <w:rsid w:val="7D797C2B"/>
    <w:rsid w:val="7DAC6A56"/>
    <w:rsid w:val="7E381ACE"/>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autoRedefine/>
    <w:qFormat/>
    <w:uiPriority w:val="0"/>
    <w:pPr>
      <w:keepNext/>
      <w:tabs>
        <w:tab w:val="left" w:pos="1275"/>
      </w:tabs>
      <w:spacing w:line="216" w:lineRule="auto"/>
      <w:ind w:left="1275" w:hanging="720"/>
      <w:outlineLvl w:val="2"/>
    </w:pPr>
    <w:rPr>
      <w:rFonts w:ascii="宋体"/>
      <w:b/>
      <w:sz w:val="28"/>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next w:val="1"/>
    <w:autoRedefine/>
    <w:qFormat/>
    <w:uiPriority w:val="0"/>
    <w:pPr>
      <w:spacing w:before="240" w:after="60"/>
      <w:jc w:val="center"/>
      <w:outlineLvl w:val="0"/>
    </w:pPr>
    <w:rPr>
      <w:rFonts w:ascii="Arial" w:hAnsi="Arial" w:cs="Arial"/>
      <w:color w:val="000000"/>
      <w:kern w:val="0"/>
      <w:sz w:val="32"/>
      <w:szCs w:val="32"/>
    </w:rPr>
  </w:style>
  <w:style w:type="paragraph" w:styleId="6">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7">
    <w:name w:val="Body Text"/>
    <w:basedOn w:val="1"/>
    <w:next w:val="8"/>
    <w:link w:val="34"/>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8">
    <w:name w:val="Body Text First Indent"/>
    <w:basedOn w:val="7"/>
    <w:next w:val="1"/>
    <w:link w:val="33"/>
    <w:autoRedefine/>
    <w:qFormat/>
    <w:uiPriority w:val="0"/>
    <w:pPr>
      <w:ind w:firstLine="420"/>
    </w:pPr>
    <w:rPr>
      <w:rFonts w:hAnsi="Times New Roman" w:cs="Times New Roman"/>
      <w:snapToGrid/>
      <w:szCs w:val="20"/>
    </w:rPr>
  </w:style>
  <w:style w:type="paragraph" w:styleId="9">
    <w:name w:val="Body Text Indent"/>
    <w:basedOn w:val="1"/>
    <w:autoRedefine/>
    <w:qFormat/>
    <w:uiPriority w:val="0"/>
    <w:pPr>
      <w:spacing w:line="480" w:lineRule="exact"/>
      <w:ind w:firstLine="480" w:firstLineChars="200"/>
    </w:pPr>
    <w:rPr>
      <w:rFonts w:ascii="宋体" w:hAnsi="宋体"/>
      <w:sz w:val="24"/>
    </w:rPr>
  </w:style>
  <w:style w:type="paragraph" w:styleId="10">
    <w:name w:val="Plain Text"/>
    <w:basedOn w:val="1"/>
    <w:autoRedefine/>
    <w:qFormat/>
    <w:uiPriority w:val="0"/>
    <w:rPr>
      <w:rFonts w:ascii="宋体" w:hAnsi="Courier New"/>
      <w:szCs w:val="22"/>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autoRedefine/>
    <w:qFormat/>
    <w:uiPriority w:val="39"/>
    <w:pPr>
      <w:jc w:val="left"/>
    </w:pPr>
    <w:rPr>
      <w:b/>
      <w:caps/>
    </w:rPr>
  </w:style>
  <w:style w:type="paragraph" w:styleId="14">
    <w:name w:val="toc 6"/>
    <w:basedOn w:val="1"/>
    <w:next w:val="1"/>
    <w:autoRedefine/>
    <w:qFormat/>
    <w:uiPriority w:val="0"/>
    <w:pPr>
      <w:ind w:left="2100" w:leftChars="1000"/>
    </w:pPr>
  </w:style>
  <w:style w:type="table" w:styleId="16">
    <w:name w:val="Table Grid"/>
    <w:basedOn w:val="15"/>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8">
    <w:name w:val="Table Paragraph"/>
    <w:basedOn w:val="1"/>
    <w:autoRedefine/>
    <w:qFormat/>
    <w:uiPriority w:val="1"/>
    <w:rPr>
      <w:rFonts w:ascii="宋体" w:hAnsi="宋体" w:eastAsia="宋体" w:cs="宋体"/>
      <w:lang w:val="zh-CN" w:bidi="zh-CN"/>
    </w:rPr>
  </w:style>
  <w:style w:type="paragraph" w:customStyle="1" w:styleId="19">
    <w:name w:val="普通(网站)1"/>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20">
    <w:name w:val="样式1"/>
    <w:basedOn w:val="1"/>
    <w:autoRedefine/>
    <w:qFormat/>
    <w:uiPriority w:val="0"/>
    <w:pPr>
      <w:spacing w:line="360" w:lineRule="exact"/>
      <w:ind w:firstLine="200" w:firstLineChars="200"/>
    </w:pPr>
    <w:rPr>
      <w:rFonts w:ascii="Arial" w:hAnsi="Arial"/>
    </w:rPr>
  </w:style>
  <w:style w:type="paragraph" w:customStyle="1" w:styleId="21">
    <w:name w:val="正文2"/>
    <w:basedOn w:val="1"/>
    <w:autoRedefine/>
    <w:qFormat/>
    <w:uiPriority w:val="0"/>
    <w:pPr>
      <w:spacing w:before="156" w:line="360" w:lineRule="auto"/>
      <w:ind w:firstLine="510" w:firstLineChars="200"/>
    </w:pPr>
    <w:rPr>
      <w:sz w:val="24"/>
      <w:szCs w:val="20"/>
    </w:rPr>
  </w:style>
  <w:style w:type="paragraph" w:customStyle="1" w:styleId="22">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3">
    <w:name w:val="正文缩进1"/>
    <w:basedOn w:val="1"/>
    <w:next w:val="9"/>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4">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5">
    <w:name w:val="纯文本1"/>
    <w:basedOn w:val="1"/>
    <w:autoRedefine/>
    <w:qFormat/>
    <w:uiPriority w:val="0"/>
    <w:rPr>
      <w:rFonts w:ascii="宋体" w:hAnsi="Courier New"/>
      <w:kern w:val="0"/>
      <w:sz w:val="20"/>
      <w:szCs w:val="20"/>
    </w:rPr>
  </w:style>
  <w:style w:type="paragraph" w:customStyle="1" w:styleId="26">
    <w:name w:val="纯文本_0_0"/>
    <w:basedOn w:val="27"/>
    <w:autoRedefine/>
    <w:qFormat/>
    <w:uiPriority w:val="0"/>
    <w:rPr>
      <w:rFonts w:ascii="宋体" w:hAnsi="Courier New"/>
      <w:szCs w:val="21"/>
    </w:rPr>
  </w:style>
  <w:style w:type="paragraph" w:customStyle="1" w:styleId="2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8">
    <w:name w:val="List Paragraph"/>
    <w:basedOn w:val="1"/>
    <w:autoRedefine/>
    <w:qFormat/>
    <w:uiPriority w:val="99"/>
    <w:pPr>
      <w:ind w:firstLine="420" w:firstLineChars="200"/>
    </w:pPr>
  </w:style>
  <w:style w:type="paragraph" w:customStyle="1" w:styleId="29">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0">
    <w:name w:val="条款样式"/>
    <w:autoRedefine/>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1">
    <w:name w:val="修订1"/>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32">
    <w:name w:val="样式 标题 1 + 四号 加粗"/>
    <w:basedOn w:val="3"/>
    <w:autoRedefine/>
    <w:qFormat/>
    <w:uiPriority w:val="0"/>
  </w:style>
  <w:style w:type="character" w:customStyle="1" w:styleId="33">
    <w:name w:val="正文文本首行缩进 字符"/>
    <w:basedOn w:val="17"/>
    <w:link w:val="8"/>
    <w:autoRedefine/>
    <w:qFormat/>
    <w:uiPriority w:val="0"/>
    <w:rPr>
      <w:rFonts w:ascii="宋体" w:eastAsiaTheme="minorEastAsia"/>
      <w:kern w:val="2"/>
      <w:sz w:val="24"/>
      <w:lang w:val="zh-CN"/>
    </w:rPr>
  </w:style>
  <w:style w:type="character" w:customStyle="1" w:styleId="34">
    <w:name w:val="正文文本 字符"/>
    <w:basedOn w:val="17"/>
    <w:link w:val="7"/>
    <w:autoRedefine/>
    <w:qFormat/>
    <w:uiPriority w:val="99"/>
    <w:rPr>
      <w:rFonts w:ascii="宋体" w:hAnsi="Arial" w:cs="Arial" w:eastAsiaTheme="minorEastAsia"/>
      <w:snapToGrid w:val="0"/>
      <w:kern w:val="2"/>
      <w:sz w:val="24"/>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56</Pages>
  <Words>4753</Words>
  <Characters>27094</Characters>
  <Lines>225</Lines>
  <Paragraphs>63</Paragraphs>
  <TotalTime>3</TotalTime>
  <ScaleCrop>false</ScaleCrop>
  <LinksUpToDate>false</LinksUpToDate>
  <CharactersWithSpaces>31784</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WPS_1672890454</cp:lastModifiedBy>
  <dcterms:modified xsi:type="dcterms:W3CDTF">2024-04-26T07:12:07Z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B8A9BE93123146EF81B7119B9D9F6625_13</vt:lpwstr>
  </property>
</Properties>
</file>