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10"/>
        <w:jc w:val="center"/>
        <w:rPr>
          <w:rFonts w:hint="eastAsia" w:cs="宋体" w:asciiTheme="minorEastAsia" w:hAnsiTheme="minorEastAsia"/>
          <w:color w:val="auto"/>
          <w:sz w:val="48"/>
          <w:szCs w:val="48"/>
          <w:u w:val="single"/>
        </w:rPr>
      </w:pPr>
    </w:p>
    <w:p w14:paraId="779CA489">
      <w:pPr>
        <w:pStyle w:val="10"/>
        <w:jc w:val="center"/>
        <w:rPr>
          <w:rFonts w:hint="eastAsia" w:cs="宋体" w:asciiTheme="minorEastAsia" w:hAnsiTheme="minorEastAsia"/>
          <w:color w:val="auto"/>
          <w:sz w:val="48"/>
          <w:szCs w:val="48"/>
          <w:u w:val="single"/>
        </w:rPr>
      </w:pPr>
    </w:p>
    <w:p w14:paraId="5EB9923E">
      <w:pPr>
        <w:pStyle w:val="10"/>
        <w:jc w:val="center"/>
        <w:rPr>
          <w:rFonts w:hint="eastAsia" w:cs="宋体" w:asciiTheme="minorEastAsia" w:hAnsiTheme="minorEastAsia"/>
          <w:color w:val="auto"/>
          <w:sz w:val="48"/>
          <w:szCs w:val="48"/>
          <w:u w:val="single"/>
        </w:rPr>
      </w:pPr>
    </w:p>
    <w:p w14:paraId="0776E5DA">
      <w:pPr>
        <w:pStyle w:val="10"/>
        <w:jc w:val="center"/>
        <w:rPr>
          <w:rFonts w:hint="eastAsia" w:cs="宋体" w:asciiTheme="minorEastAsia" w:hAnsiTheme="minorEastAsia"/>
          <w:color w:val="auto"/>
          <w:sz w:val="48"/>
          <w:szCs w:val="48"/>
          <w:u w:val="single"/>
        </w:rPr>
      </w:pPr>
    </w:p>
    <w:p w14:paraId="36BB2EEC">
      <w:pPr>
        <w:pStyle w:val="10"/>
        <w:jc w:val="center"/>
        <w:rPr>
          <w:rFonts w:hint="eastAsia" w:cs="宋体" w:asciiTheme="minorEastAsia" w:hAnsiTheme="minorEastAsia"/>
          <w:color w:val="auto"/>
          <w:sz w:val="48"/>
          <w:szCs w:val="48"/>
          <w:u w:val="single"/>
        </w:rPr>
      </w:pPr>
    </w:p>
    <w:p w14:paraId="7D38BC5C">
      <w:pPr>
        <w:pStyle w:val="10"/>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2025年临江公司非标件测绘服务采购项目</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202507056</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10"/>
        <w:rPr>
          <w:color w:val="auto"/>
        </w:rPr>
      </w:pPr>
    </w:p>
    <w:p w14:paraId="743DEDE1">
      <w:pPr>
        <w:rPr>
          <w:color w:val="auto"/>
        </w:rPr>
      </w:pPr>
    </w:p>
    <w:p w14:paraId="735F61A0">
      <w:pPr>
        <w:pStyle w:val="10"/>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10"/>
        <w:rPr>
          <w:rFonts w:cs="仿宋" w:asciiTheme="minorEastAsia" w:hAnsiTheme="minorEastAsia"/>
          <w:color w:val="auto"/>
          <w:sz w:val="24"/>
          <w:szCs w:val="24"/>
        </w:rPr>
      </w:pPr>
    </w:p>
    <w:p w14:paraId="079F01E4">
      <w:pPr>
        <w:pStyle w:val="10"/>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7</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24</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28359079"/>
      <w:bookmarkStart w:id="2" w:name="_Toc28359002"/>
      <w:bookmarkStart w:id="3" w:name="_Toc35393621"/>
      <w:bookmarkStart w:id="4" w:name="_Toc35393790"/>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 xml:space="preserve"> 2025年临江公司非标件测绘服务采购项目</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202507056</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2025年临江公司非标件测绘服务采购项目</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lang w:val="en-US" w:eastAsia="zh-CN"/>
        </w:rPr>
      </w:pPr>
      <w:r>
        <w:rPr>
          <w:rFonts w:hint="eastAsia" w:cs="仿宋" w:asciiTheme="minorEastAsia" w:hAnsiTheme="minorEastAsia"/>
          <w:b/>
          <w:bCs/>
          <w:color w:val="auto"/>
          <w:sz w:val="24"/>
          <w:lang w:val="en-US" w:eastAsia="zh-CN"/>
        </w:rPr>
        <w:t>4.</w:t>
      </w:r>
      <w:r>
        <w:rPr>
          <w:rFonts w:hint="eastAsia" w:cs="仿宋" w:asciiTheme="minorEastAsia" w:hAnsiTheme="minorEastAsia"/>
          <w:b/>
          <w:bCs/>
          <w:color w:val="auto"/>
          <w:sz w:val="24"/>
        </w:rPr>
        <w:t>最高限价：</w:t>
      </w:r>
      <w:r>
        <w:rPr>
          <w:rFonts w:hint="eastAsia" w:cs="仿宋" w:asciiTheme="minorEastAsia" w:hAnsiTheme="minorEastAsia"/>
          <w:color w:val="auto"/>
          <w:sz w:val="24"/>
          <w:highlight w:val="none"/>
          <w:u w:val="single"/>
          <w:lang w:val="en-US" w:eastAsia="zh-CN"/>
        </w:rPr>
        <w:t>8.5万元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29629DC1">
      <w:pPr>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rPr>
      </w:pPr>
      <w:r>
        <w:rPr>
          <w:rFonts w:hint="eastAsia" w:hAnsi="宋体" w:cs="宋体"/>
          <w:bCs/>
          <w:color w:val="auto"/>
          <w:sz w:val="24"/>
          <w:highlight w:val="none"/>
          <w:lang w:val="en-US" w:eastAsia="zh-CN"/>
        </w:rPr>
        <w:t>委托第三方服务单位对临江公司机械非标件备件进行测绘出图，</w:t>
      </w:r>
      <w:r>
        <w:rPr>
          <w:rFonts w:hint="eastAsia" w:hAnsi="宋体" w:cs="宋体"/>
          <w:bCs/>
          <w:color w:val="auto"/>
          <w:sz w:val="24"/>
          <w:highlight w:val="none"/>
        </w:rPr>
        <w:t>具体要求以询价通知书第三部分采购需求为准</w:t>
      </w:r>
      <w:r>
        <w:rPr>
          <w:rFonts w:hint="eastAsia" w:hAnsi="宋体" w:cs="宋体"/>
          <w:bCs/>
          <w:color w:val="auto"/>
          <w:sz w:val="24"/>
          <w:highlight w:val="none"/>
          <w:lang w:eastAsia="zh-CN"/>
        </w:rPr>
        <w:t>。</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自合同签订起12个月。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80"/>
      <w:bookmarkStart w:id="7" w:name="_Toc28359003"/>
      <w:bookmarkStart w:id="8" w:name="_Toc35393622"/>
      <w:bookmarkStart w:id="9" w:name="_Toc35393791"/>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28359004"/>
      <w:bookmarkStart w:id="11" w:name="_Toc35393792"/>
      <w:bookmarkStart w:id="12" w:name="_Toc35393623"/>
      <w:bookmarkStart w:id="13" w:name="_Toc28359081"/>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highlight w:val="none"/>
          <w:u w:val="single"/>
          <w:lang w:val="en-US" w:eastAsia="zh-CN"/>
        </w:rPr>
        <w:t>无</w:t>
      </w:r>
      <w:r>
        <w:rPr>
          <w:rFonts w:hint="eastAsia" w:cs="仿宋" w:asciiTheme="minorEastAsia" w:hAnsiTheme="minorEastAsia"/>
          <w:bCs/>
          <w:sz w:val="24"/>
          <w:highlight w:val="none"/>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color w:val="auto"/>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28359082"/>
      <w:bookmarkStart w:id="15" w:name="_Toc35393793"/>
      <w:bookmarkStart w:id="16" w:name="_Toc35393624"/>
      <w:bookmarkStart w:id="17" w:name="_Toc28359005"/>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w:t>
      </w:r>
      <w:r>
        <w:rPr>
          <w:rFonts w:hint="eastAsia" w:cs="仿宋" w:asciiTheme="minorEastAsia" w:hAnsiTheme="minorEastAsia" w:eastAsiaTheme="minorEastAsia"/>
          <w:b w:val="0"/>
          <w:bCs/>
          <w:kern w:val="2"/>
          <w:sz w:val="24"/>
          <w:szCs w:val="24"/>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10</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 xml:space="preserve">工 </w:t>
      </w:r>
      <w:r>
        <w:rPr>
          <w:rFonts w:hint="eastAsia" w:cs="仿宋" w:asciiTheme="minorEastAsia" w:hAnsiTheme="minorEastAsia"/>
          <w:color w:val="auto"/>
          <w:sz w:val="24"/>
          <w:lang w:val="en-US" w:eastAsia="zh-CN"/>
        </w:rPr>
        <w:t>15700099079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3AD0BAD9">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7月24</w:t>
      </w:r>
      <w:bookmarkStart w:id="469" w:name="_GoBack"/>
      <w:bookmarkEnd w:id="469"/>
      <w:r>
        <w:rPr>
          <w:rFonts w:hint="eastAsia" w:cs="仿宋" w:asciiTheme="minorEastAsia" w:hAnsiTheme="minorEastAsia"/>
          <w:color w:val="auto"/>
          <w:sz w:val="24"/>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4"/>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4"/>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4"/>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4"/>
        <w:rPr>
          <w:rFonts w:cs="仿宋" w:asciiTheme="minorEastAsia" w:hAnsiTheme="minorEastAsia"/>
          <w:b/>
          <w:bCs/>
          <w:sz w:val="36"/>
          <w:szCs w:val="36"/>
        </w:rPr>
      </w:pPr>
    </w:p>
    <w:p w14:paraId="67B10812">
      <w:pPr>
        <w:rPr>
          <w:rFonts w:cs="仿宋" w:asciiTheme="minorEastAsia" w:hAnsiTheme="minorEastAsia"/>
          <w:b/>
          <w:bCs/>
          <w:sz w:val="36"/>
          <w:szCs w:val="36"/>
        </w:rPr>
      </w:pPr>
    </w:p>
    <w:p w14:paraId="2C84085E">
      <w:pPr>
        <w:rPr>
          <w:rFonts w:cs="仿宋" w:asciiTheme="minorEastAsia" w:hAnsiTheme="minorEastAsia"/>
          <w:b/>
          <w:bCs/>
          <w:sz w:val="36"/>
          <w:szCs w:val="36"/>
        </w:rPr>
      </w:pPr>
    </w:p>
    <w:p w14:paraId="4B4B4258">
      <w:pPr>
        <w:rPr>
          <w:rFonts w:cs="仿宋" w:asciiTheme="minorEastAsia" w:hAnsiTheme="minorEastAsia"/>
          <w:b/>
          <w:bCs/>
          <w:sz w:val="36"/>
          <w:szCs w:val="36"/>
        </w:rPr>
      </w:pPr>
    </w:p>
    <w:p w14:paraId="427A5382">
      <w:pPr>
        <w:rPr>
          <w:rFonts w:cs="仿宋" w:asciiTheme="minorEastAsia" w:hAnsiTheme="minorEastAsia"/>
          <w:b/>
          <w:bCs/>
          <w:sz w:val="36"/>
          <w:szCs w:val="36"/>
        </w:rPr>
      </w:pPr>
    </w:p>
    <w:p w14:paraId="0EA25382">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8"/>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8"/>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8"/>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8"/>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0"/>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8"/>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8"/>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8"/>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8"/>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8"/>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7"/>
        <w:ind w:left="0" w:leftChars="0" w:firstLine="0" w:firstLineChars="0"/>
        <w:rPr>
          <w:rFonts w:hint="eastAsia" w:cs="仿宋" w:asciiTheme="minorEastAsia" w:hAnsiTheme="minorEastAsia"/>
          <w:b/>
          <w:color w:val="auto"/>
          <w:sz w:val="32"/>
          <w:szCs w:val="20"/>
        </w:rPr>
      </w:pPr>
    </w:p>
    <w:p w14:paraId="08A39AFF">
      <w:pPr>
        <w:pStyle w:val="8"/>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291A9F7F">
      <w:pPr>
        <w:rPr>
          <w:rFonts w:hint="eastAsia" w:cs="仿宋" w:asciiTheme="minorEastAsia" w:hAnsiTheme="minorEastAsia"/>
          <w:b/>
          <w:color w:val="auto"/>
          <w:sz w:val="32"/>
          <w:szCs w:val="20"/>
        </w:rPr>
      </w:pPr>
    </w:p>
    <w:p w14:paraId="47C0AFE2">
      <w:pPr>
        <w:rPr>
          <w:rFonts w:hint="eastAsia" w:cs="仿宋" w:asciiTheme="minorEastAsia" w:hAnsiTheme="minorEastAsia"/>
          <w:b/>
          <w:color w:val="auto"/>
          <w:sz w:val="32"/>
          <w:szCs w:val="20"/>
        </w:rPr>
      </w:pPr>
    </w:p>
    <w:p w14:paraId="1619A9B8">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10"/>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10"/>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1"/>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1"/>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1"/>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1"/>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9"/>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1"/>
        <w:spacing w:before="0"/>
        <w:ind w:firstLine="0" w:firstLineChars="0"/>
        <w:jc w:val="center"/>
        <w:rPr>
          <w:rFonts w:cs="仿宋" w:asciiTheme="minorEastAsia" w:hAnsiTheme="minorEastAsia"/>
          <w:b/>
          <w:color w:val="auto"/>
          <w:sz w:val="32"/>
        </w:rPr>
      </w:pPr>
    </w:p>
    <w:p w14:paraId="6D3BDBEA">
      <w:pPr>
        <w:pStyle w:val="21"/>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2"/>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2"/>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2"/>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E833C2C">
      <w:pPr>
        <w:pStyle w:val="21"/>
        <w:spacing w:before="0"/>
        <w:ind w:firstLine="495" w:firstLineChars="0"/>
        <w:rPr>
          <w:rFonts w:cs="仿宋" w:asciiTheme="minorEastAsia" w:hAnsiTheme="minorEastAsia"/>
          <w:color w:val="auto"/>
          <w:kern w:val="0"/>
          <w:szCs w:val="24"/>
        </w:rPr>
      </w:pPr>
    </w:p>
    <w:p w14:paraId="71637C61">
      <w:pPr>
        <w:pStyle w:val="21"/>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1"/>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1"/>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1"/>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1"/>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9"/>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5473E0C4">
      <w:pPr>
        <w:tabs>
          <w:tab w:val="left" w:pos="0"/>
        </w:tabs>
        <w:spacing w:line="360" w:lineRule="auto"/>
        <w:ind w:firstLine="480"/>
        <w:rPr>
          <w:rFonts w:cs="仿宋" w:asciiTheme="minorEastAsia" w:hAnsiTheme="minorEastAsia"/>
          <w:color w:val="auto"/>
          <w:sz w:val="24"/>
        </w:rPr>
      </w:pP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9"/>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10"/>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6452D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14:paraId="344AA285">
      <w:pPr>
        <w:pStyle w:val="6"/>
        <w:numPr>
          <w:ilvl w:val="0"/>
          <w:numId w:val="0"/>
        </w:numPr>
        <w:ind w:firstLine="480" w:firstLineChars="200"/>
        <w:rPr>
          <w:rFonts w:hint="default"/>
          <w:lang w:val="en-US" w:eastAsia="zh-CN"/>
        </w:rPr>
      </w:pPr>
      <w:r>
        <w:rPr>
          <w:rFonts w:hint="eastAsia"/>
          <w:color w:val="auto"/>
          <w:highlight w:val="none"/>
          <w:lang w:val="en-US" w:eastAsia="zh-CN"/>
        </w:rPr>
        <w:t>杭州临江环境能源有限公司现有一批机械密封配件、公用刮板机配件、出渣机配件、撕碎机配件等非标件</w:t>
      </w:r>
      <w:r>
        <w:rPr>
          <w:rFonts w:hint="eastAsia" w:ascii="宋体"/>
          <w:color w:val="auto"/>
          <w:highlight w:val="none"/>
          <w:lang w:val="en-US" w:eastAsia="zh-CN"/>
        </w:rPr>
        <w:t>需委托第三方单位进行</w:t>
      </w:r>
      <w:r>
        <w:rPr>
          <w:rFonts w:hint="eastAsia"/>
          <w:color w:val="auto"/>
          <w:highlight w:val="none"/>
          <w:lang w:val="en-US" w:eastAsia="zh-CN"/>
        </w:rPr>
        <w:t>测绘出图。清单如下：</w:t>
      </w:r>
    </w:p>
    <w:tbl>
      <w:tblPr>
        <w:tblStyle w:val="15"/>
        <w:tblW w:w="88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1377"/>
        <w:gridCol w:w="2766"/>
        <w:gridCol w:w="2991"/>
        <w:gridCol w:w="579"/>
        <w:gridCol w:w="561"/>
      </w:tblGrid>
      <w:tr w14:paraId="10E7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6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6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0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服务要求</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8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B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E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4EED1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0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A0A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机械非标件测绘</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8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非标件测绘，制作CAD电子版图纸及A3纸质图纸</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50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olor w:val="auto"/>
                <w:highlight w:val="none"/>
                <w:lang w:val="en-US" w:eastAsia="zh-CN"/>
              </w:rPr>
              <w:t>机械密封配件、公用刮板机配件、出渣机配件、撕碎机配件等，具体</w:t>
            </w:r>
            <w:r>
              <w:rPr>
                <w:rFonts w:hint="eastAsia" w:ascii="宋体" w:hAnsi="宋体" w:eastAsia="宋体" w:cs="宋体"/>
                <w:i w:val="0"/>
                <w:iCs w:val="0"/>
                <w:color w:val="000000"/>
                <w:kern w:val="0"/>
                <w:sz w:val="22"/>
                <w:szCs w:val="22"/>
                <w:u w:val="none"/>
                <w:lang w:val="en-US" w:eastAsia="zh-CN" w:bidi="ar"/>
              </w:rPr>
              <w:t>根据采购人实际需求为准。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C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6D6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175</w:t>
            </w:r>
          </w:p>
        </w:tc>
      </w:tr>
    </w:tbl>
    <w:p w14:paraId="259F5895">
      <w:pPr>
        <w:pStyle w:val="6"/>
        <w:numPr>
          <w:ilvl w:val="0"/>
          <w:numId w:val="0"/>
        </w:numPr>
        <w:ind w:firstLine="482" w:firstLineChars="200"/>
        <w:rPr>
          <w:rFonts w:hint="default"/>
          <w:color w:val="0000FF"/>
          <w:u w:val="single"/>
          <w:lang w:val="en-US" w:eastAsia="zh-CN"/>
        </w:rPr>
      </w:pPr>
      <w:r>
        <w:rPr>
          <w:rFonts w:hint="eastAsia"/>
          <w:b/>
          <w:bCs/>
          <w:color w:val="auto"/>
          <w:lang w:val="en-US" w:eastAsia="zh-CN"/>
        </w:rPr>
        <w:t>二、合同期限</w:t>
      </w:r>
      <w:r>
        <w:rPr>
          <w:rFonts w:hint="eastAsia"/>
          <w:color w:val="auto"/>
          <w:highlight w:val="none"/>
          <w:lang w:val="en-US" w:eastAsia="zh-CN"/>
        </w:rPr>
        <w:t>：</w:t>
      </w:r>
      <w:r>
        <w:rPr>
          <w:rFonts w:hint="eastAsia"/>
          <w:color w:val="auto"/>
          <w:highlight w:val="none"/>
          <w:u w:val="single"/>
          <w:lang w:val="en-US" w:eastAsia="zh-CN"/>
        </w:rPr>
        <w:t>自合同签订后12个月。</w:t>
      </w:r>
    </w:p>
    <w:p w14:paraId="6CBB257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▲三、验收方式</w:t>
      </w:r>
    </w:p>
    <w:p w14:paraId="4DE61BD8">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供应商按照相关测绘标准进行非标件测绘并出具纸质图纸及电子CAD图。</w:t>
      </w:r>
    </w:p>
    <w:p w14:paraId="609F659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▲四、服务和质量要求</w:t>
      </w:r>
    </w:p>
    <w:p w14:paraId="31FD7434">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1.供应商根据采购人实际需求，对现场机械非标件进行测绘，分批次上门测绘（估计4-5批次），供应商负责在接到采购人电话或书面通知后在3个工作日内上门进行测绘。</w:t>
      </w:r>
    </w:p>
    <w:p w14:paraId="55CA1BC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2.供应商应根据须配备足够的测量仪器和设备，以满足各种非标件测绘的工作需要。</w:t>
      </w:r>
    </w:p>
    <w:p w14:paraId="6AF054CE">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3.供应商采用的测量仪器和设备，且必须经过计量部门的检定并在有效期内。应确保所有测量仪器和设备在检测过程中状况良好、性能稳定、测量精度必须满足国家相应规定和标准要求。</w:t>
      </w:r>
    </w:p>
    <w:p w14:paraId="3B2D0E00">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4.供应商测绘期间应满足采购人的现场管理制度要求，遵守国家、行业、地方法律法规，不得违章作业，出现任何人员安全事故由供应商自行承担。</w:t>
      </w:r>
    </w:p>
    <w:p w14:paraId="17A0A124">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5.供应商在测绘服务期间自备专用工具和服务人员的所有劳防用品。</w:t>
      </w:r>
    </w:p>
    <w:p w14:paraId="5AC5535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6.供应商应保留测量记录，并根据不同环节的需求要进行不同程度的历史记录保留，以便后期采购人使用、追溯等。</w:t>
      </w:r>
    </w:p>
    <w:p w14:paraId="1574AB1A">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7.供应商服务人员差旅、食宿费用含在本次采购范围内，采购人不额外支付费用。</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五、结算方式</w:t>
      </w:r>
    </w:p>
    <w:p w14:paraId="1ADD314A">
      <w:pPr>
        <w:pStyle w:val="7"/>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六、售后要求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宋体" w:eastAsia="宋体" w:cs="宋体"/>
          <w:sz w:val="24"/>
          <w:lang w:val="en-US" w:eastAsia="zh-CN"/>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宋体" w:eastAsia="宋体" w:cs="宋体"/>
          <w:sz w:val="24"/>
          <w:lang w:val="en-US" w:eastAsia="zh-CN"/>
        </w:rPr>
        <w:t>供应商</w:t>
      </w:r>
      <w:r>
        <w:rPr>
          <w:rFonts w:hint="eastAsia" w:ascii="宋体" w:hAnsi="宋体" w:eastAsia="宋体" w:cs="宋体"/>
          <w:sz w:val="24"/>
        </w:rPr>
        <w:t>在供货过程中涉及第三方产品（</w:t>
      </w:r>
      <w:r>
        <w:rPr>
          <w:rFonts w:hint="eastAsia" w:ascii="宋体" w:hAnsi="宋体" w:eastAsia="宋体" w:cs="宋体"/>
          <w:sz w:val="24"/>
          <w:lang w:val="en-US" w:eastAsia="zh-CN"/>
        </w:rPr>
        <w:t>供应商</w:t>
      </w:r>
      <w:r>
        <w:rPr>
          <w:rFonts w:hint="eastAsia" w:ascii="宋体" w:hAnsi="宋体" w:eastAsia="宋体" w:cs="宋体"/>
          <w:sz w:val="24"/>
        </w:rPr>
        <w:t>提供的），若出现技术、经济或法律上的纠纷，应由</w:t>
      </w:r>
      <w:r>
        <w:rPr>
          <w:rFonts w:hint="eastAsia" w:ascii="宋体" w:hAnsi="宋体" w:eastAsia="宋体" w:cs="宋体"/>
          <w:sz w:val="24"/>
          <w:lang w:val="en-US" w:eastAsia="zh-CN"/>
        </w:rPr>
        <w:t>供应商</w:t>
      </w:r>
      <w:r>
        <w:rPr>
          <w:rFonts w:hint="eastAsia" w:ascii="宋体" w:hAnsi="宋体" w:eastAsia="宋体" w:cs="宋体"/>
          <w:sz w:val="24"/>
        </w:rPr>
        <w:t>全面承担并解决，确保不影响项目的进度。</w:t>
      </w:r>
      <w:r>
        <w:rPr>
          <w:rFonts w:hint="eastAsia" w:ascii="宋体" w:hAnsi="宋体" w:eastAsia="宋体" w:cs="宋体"/>
          <w:sz w:val="24"/>
          <w:lang w:val="en-US" w:eastAsia="zh-CN"/>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宋体" w:eastAsia="宋体" w:cs="宋体"/>
          <w:sz w:val="24"/>
          <w:lang w:val="en-US" w:eastAsia="zh-CN"/>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宋体" w:eastAsia="宋体" w:cs="宋体"/>
          <w:sz w:val="24"/>
          <w:lang w:val="en-US" w:eastAsia="zh-CN"/>
        </w:rPr>
        <w:t>供应商</w:t>
      </w:r>
      <w:r>
        <w:rPr>
          <w:rFonts w:hint="eastAsia" w:ascii="宋体" w:hAnsi="宋体" w:eastAsia="宋体" w:cs="宋体"/>
          <w:sz w:val="24"/>
        </w:rPr>
        <w:t>不得另作他用。因</w:t>
      </w:r>
      <w:r>
        <w:rPr>
          <w:rFonts w:hint="eastAsia" w:ascii="宋体" w:hAnsi="宋体" w:eastAsia="宋体" w:cs="宋体"/>
          <w:sz w:val="24"/>
          <w:lang w:val="en-US" w:eastAsia="zh-CN"/>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宋体" w:eastAsia="宋体" w:cs="宋体"/>
          <w:sz w:val="24"/>
          <w:lang w:val="en-US" w:eastAsia="zh-CN"/>
        </w:rPr>
        <w:t>供应商</w:t>
      </w:r>
      <w:r>
        <w:rPr>
          <w:rFonts w:hint="eastAsia" w:ascii="宋体" w:hAnsi="宋体" w:eastAsia="宋体" w:cs="宋体"/>
          <w:sz w:val="24"/>
        </w:rPr>
        <w:t>采取措施消除影响并赔偿招标方损失；</w:t>
      </w:r>
    </w:p>
    <w:p w14:paraId="7A434FEE">
      <w:pPr>
        <w:pStyle w:val="6"/>
        <w:numPr>
          <w:ilvl w:val="0"/>
          <w:numId w:val="0"/>
        </w:numPr>
        <w:ind w:firstLine="482" w:firstLineChars="200"/>
        <w:rPr>
          <w:rFonts w:hint="default"/>
          <w:b/>
          <w:bCs/>
          <w:color w:val="auto"/>
          <w:lang w:val="en-US" w:eastAsia="zh-CN"/>
        </w:rPr>
      </w:pP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2109"/>
      <w:bookmarkEnd w:id="19"/>
      <w:bookmarkStart w:id="20" w:name="_Toc184314433"/>
      <w:bookmarkEnd w:id="20"/>
      <w:bookmarkStart w:id="21" w:name="_Toc184312139"/>
      <w:bookmarkEnd w:id="21"/>
      <w:bookmarkStart w:id="22" w:name="_Toc184310337"/>
      <w:bookmarkEnd w:id="22"/>
      <w:bookmarkStart w:id="23" w:name="_Toc184313296"/>
      <w:bookmarkEnd w:id="23"/>
      <w:bookmarkStart w:id="24" w:name="_Toc184312123"/>
      <w:bookmarkEnd w:id="24"/>
      <w:bookmarkStart w:id="25" w:name="_Toc184310289"/>
      <w:bookmarkEnd w:id="25"/>
      <w:bookmarkStart w:id="26" w:name="_Toc184313290"/>
      <w:bookmarkEnd w:id="26"/>
      <w:bookmarkStart w:id="27" w:name="_Toc184313246"/>
      <w:bookmarkEnd w:id="27"/>
      <w:bookmarkStart w:id="28" w:name="_Toc184314427"/>
      <w:bookmarkEnd w:id="28"/>
      <w:bookmarkStart w:id="29" w:name="_Toc184313279"/>
      <w:bookmarkEnd w:id="29"/>
      <w:bookmarkStart w:id="30" w:name="_Toc184310305"/>
      <w:bookmarkEnd w:id="30"/>
      <w:bookmarkStart w:id="31" w:name="_Toc184310279"/>
      <w:bookmarkEnd w:id="31"/>
      <w:bookmarkStart w:id="32" w:name="_Toc184313306"/>
      <w:bookmarkEnd w:id="32"/>
      <w:bookmarkStart w:id="33" w:name="_Toc184313261"/>
      <w:bookmarkEnd w:id="33"/>
      <w:bookmarkStart w:id="34" w:name="_Toc184308092"/>
      <w:bookmarkEnd w:id="34"/>
      <w:bookmarkStart w:id="35" w:name="_Toc184310317"/>
      <w:bookmarkEnd w:id="35"/>
      <w:bookmarkStart w:id="36" w:name="_Toc184313308"/>
      <w:bookmarkEnd w:id="36"/>
      <w:bookmarkStart w:id="37" w:name="_Toc184314454"/>
      <w:bookmarkEnd w:id="37"/>
      <w:bookmarkStart w:id="38" w:name="_Toc184310276"/>
      <w:bookmarkEnd w:id="38"/>
      <w:bookmarkStart w:id="39" w:name="_Toc184312080"/>
      <w:bookmarkEnd w:id="39"/>
      <w:bookmarkStart w:id="40" w:name="_Toc184312105"/>
      <w:bookmarkEnd w:id="40"/>
      <w:bookmarkStart w:id="41" w:name="_Toc184310284"/>
      <w:bookmarkEnd w:id="41"/>
      <w:bookmarkStart w:id="42" w:name="_Toc184314434"/>
      <w:bookmarkEnd w:id="42"/>
      <w:bookmarkStart w:id="43" w:name="_Toc184313310"/>
      <w:bookmarkEnd w:id="43"/>
      <w:bookmarkStart w:id="44" w:name="_Toc184310338"/>
      <w:bookmarkEnd w:id="44"/>
      <w:bookmarkStart w:id="45" w:name="_Toc184312122"/>
      <w:bookmarkEnd w:id="45"/>
      <w:bookmarkStart w:id="46" w:name="_Toc184313280"/>
      <w:bookmarkEnd w:id="46"/>
      <w:bookmarkStart w:id="47" w:name="_Toc184310302"/>
      <w:bookmarkEnd w:id="47"/>
      <w:bookmarkStart w:id="48" w:name="_Toc184308105"/>
      <w:bookmarkEnd w:id="48"/>
      <w:bookmarkStart w:id="49" w:name="_Toc184310291"/>
      <w:bookmarkEnd w:id="49"/>
      <w:bookmarkStart w:id="50" w:name="_Toc184314440"/>
      <w:bookmarkEnd w:id="50"/>
      <w:bookmarkStart w:id="51" w:name="_Toc184314469"/>
      <w:bookmarkEnd w:id="51"/>
      <w:bookmarkStart w:id="52" w:name="_Toc184314465"/>
      <w:bookmarkEnd w:id="52"/>
      <w:bookmarkStart w:id="53" w:name="_Toc184313309"/>
      <w:bookmarkEnd w:id="53"/>
      <w:bookmarkStart w:id="54" w:name="_Toc184308055"/>
      <w:bookmarkEnd w:id="54"/>
      <w:bookmarkStart w:id="55" w:name="_Toc184310282"/>
      <w:bookmarkEnd w:id="55"/>
      <w:bookmarkStart w:id="56" w:name="_Toc184312070"/>
      <w:bookmarkEnd w:id="56"/>
      <w:bookmarkStart w:id="57" w:name="_Toc184313278"/>
      <w:bookmarkEnd w:id="57"/>
      <w:bookmarkStart w:id="58" w:name="_Toc184308095"/>
      <w:bookmarkEnd w:id="58"/>
      <w:bookmarkStart w:id="59" w:name="_Toc184308073"/>
      <w:bookmarkEnd w:id="59"/>
      <w:bookmarkStart w:id="60" w:name="_Toc184310312"/>
      <w:bookmarkEnd w:id="60"/>
      <w:bookmarkStart w:id="61" w:name="_Toc184312079"/>
      <w:bookmarkEnd w:id="61"/>
      <w:bookmarkStart w:id="62" w:name="_Toc184310327"/>
      <w:bookmarkEnd w:id="62"/>
      <w:bookmarkStart w:id="63" w:name="_Toc184310321"/>
      <w:bookmarkEnd w:id="63"/>
      <w:bookmarkStart w:id="64" w:name="_Toc184313282"/>
      <w:bookmarkEnd w:id="64"/>
      <w:bookmarkStart w:id="65" w:name="_Toc184308096"/>
      <w:bookmarkEnd w:id="65"/>
      <w:bookmarkStart w:id="66" w:name="_Toc184314413"/>
      <w:bookmarkEnd w:id="66"/>
      <w:bookmarkStart w:id="67" w:name="_Toc184314473"/>
      <w:bookmarkEnd w:id="67"/>
      <w:bookmarkStart w:id="68" w:name="_Toc184310334"/>
      <w:bookmarkEnd w:id="68"/>
      <w:bookmarkStart w:id="69" w:name="_Toc184310297"/>
      <w:bookmarkEnd w:id="69"/>
      <w:bookmarkStart w:id="70" w:name="_Toc184308100"/>
      <w:bookmarkEnd w:id="70"/>
      <w:bookmarkStart w:id="71" w:name="_Toc184310313"/>
      <w:bookmarkEnd w:id="71"/>
      <w:bookmarkStart w:id="72" w:name="_Toc184313301"/>
      <w:bookmarkEnd w:id="72"/>
      <w:bookmarkStart w:id="73" w:name="_Toc184310299"/>
      <w:bookmarkEnd w:id="73"/>
      <w:bookmarkStart w:id="74" w:name="_Toc184310295"/>
      <w:bookmarkEnd w:id="74"/>
      <w:bookmarkStart w:id="75" w:name="_Toc184313299"/>
      <w:bookmarkEnd w:id="75"/>
      <w:bookmarkStart w:id="76" w:name="_Toc184314472"/>
      <w:bookmarkEnd w:id="76"/>
      <w:bookmarkStart w:id="77" w:name="_Toc184312121"/>
      <w:bookmarkEnd w:id="77"/>
      <w:bookmarkStart w:id="78" w:name="_Toc184312120"/>
      <w:bookmarkEnd w:id="78"/>
      <w:bookmarkStart w:id="79" w:name="_Toc184312128"/>
      <w:bookmarkEnd w:id="79"/>
      <w:bookmarkStart w:id="80" w:name="_Toc184313303"/>
      <w:bookmarkEnd w:id="80"/>
      <w:bookmarkStart w:id="81" w:name="_Toc184312137"/>
      <w:bookmarkEnd w:id="81"/>
      <w:bookmarkStart w:id="82" w:name="_Toc184310329"/>
      <w:bookmarkEnd w:id="82"/>
      <w:bookmarkStart w:id="83" w:name="_Toc184308052"/>
      <w:bookmarkEnd w:id="83"/>
      <w:bookmarkStart w:id="84" w:name="_Toc184312134"/>
      <w:bookmarkEnd w:id="84"/>
      <w:bookmarkStart w:id="85" w:name="_Toc184308075"/>
      <w:bookmarkEnd w:id="85"/>
      <w:bookmarkStart w:id="86" w:name="_Toc184310301"/>
      <w:bookmarkEnd w:id="86"/>
      <w:bookmarkStart w:id="87" w:name="_Toc184313292"/>
      <w:bookmarkEnd w:id="87"/>
      <w:bookmarkStart w:id="88" w:name="_Toc184308056"/>
      <w:bookmarkEnd w:id="88"/>
      <w:bookmarkStart w:id="89" w:name="_Toc184308047"/>
      <w:bookmarkEnd w:id="89"/>
      <w:bookmarkStart w:id="90" w:name="_Toc184310311"/>
      <w:bookmarkEnd w:id="90"/>
      <w:bookmarkStart w:id="91" w:name="_Toc184313298"/>
      <w:bookmarkEnd w:id="91"/>
      <w:bookmarkStart w:id="92" w:name="_Toc184314464"/>
      <w:bookmarkEnd w:id="92"/>
      <w:bookmarkStart w:id="93" w:name="_Toc184308076"/>
      <w:bookmarkEnd w:id="93"/>
      <w:bookmarkStart w:id="94" w:name="_Toc184312133"/>
      <w:bookmarkEnd w:id="94"/>
      <w:bookmarkStart w:id="95" w:name="_Toc184310292"/>
      <w:bookmarkEnd w:id="95"/>
      <w:bookmarkStart w:id="96" w:name="_Toc184314457"/>
      <w:bookmarkEnd w:id="96"/>
      <w:bookmarkStart w:id="97" w:name="_Toc184313265"/>
      <w:bookmarkEnd w:id="97"/>
      <w:bookmarkStart w:id="98" w:name="_Toc184308104"/>
      <w:bookmarkEnd w:id="98"/>
      <w:bookmarkStart w:id="99" w:name="_Toc184313238"/>
      <w:bookmarkEnd w:id="99"/>
      <w:bookmarkStart w:id="100" w:name="_Toc184310335"/>
      <w:bookmarkEnd w:id="100"/>
      <w:bookmarkStart w:id="101" w:name="_Toc184312119"/>
      <w:bookmarkEnd w:id="101"/>
      <w:bookmarkStart w:id="102" w:name="_Toc184308070"/>
      <w:bookmarkEnd w:id="102"/>
      <w:bookmarkStart w:id="103" w:name="_Toc184313251"/>
      <w:bookmarkEnd w:id="103"/>
      <w:bookmarkStart w:id="104" w:name="_Toc184308067"/>
      <w:bookmarkEnd w:id="104"/>
      <w:bookmarkStart w:id="105" w:name="_Toc184313252"/>
      <w:bookmarkEnd w:id="105"/>
      <w:bookmarkStart w:id="106" w:name="_Toc184312126"/>
      <w:bookmarkEnd w:id="106"/>
      <w:bookmarkStart w:id="107" w:name="_Toc184312138"/>
      <w:bookmarkEnd w:id="107"/>
      <w:bookmarkStart w:id="108" w:name="_Toc184312132"/>
      <w:bookmarkEnd w:id="108"/>
      <w:bookmarkStart w:id="109" w:name="_Toc184308088"/>
      <w:bookmarkEnd w:id="109"/>
      <w:bookmarkStart w:id="110" w:name="_Toc184314474"/>
      <w:bookmarkEnd w:id="110"/>
      <w:bookmarkStart w:id="111" w:name="_Toc184314450"/>
      <w:bookmarkEnd w:id="111"/>
      <w:bookmarkStart w:id="112" w:name="_Toc184313257"/>
      <w:bookmarkEnd w:id="112"/>
      <w:bookmarkStart w:id="113" w:name="_Toc184313253"/>
      <w:bookmarkEnd w:id="113"/>
      <w:bookmarkStart w:id="114" w:name="_Toc184310306"/>
      <w:bookmarkEnd w:id="114"/>
      <w:bookmarkStart w:id="115" w:name="_Toc184314439"/>
      <w:bookmarkEnd w:id="115"/>
      <w:bookmarkStart w:id="116" w:name="_Toc184313255"/>
      <w:bookmarkEnd w:id="116"/>
      <w:bookmarkStart w:id="117" w:name="_Toc184310310"/>
      <w:bookmarkEnd w:id="117"/>
      <w:bookmarkStart w:id="118" w:name="_Toc184314414"/>
      <w:bookmarkEnd w:id="118"/>
      <w:bookmarkStart w:id="119" w:name="_Toc184310326"/>
      <w:bookmarkEnd w:id="119"/>
      <w:bookmarkStart w:id="120" w:name="_Toc184314410"/>
      <w:bookmarkEnd w:id="120"/>
      <w:bookmarkStart w:id="121" w:name="_Toc184308037"/>
      <w:bookmarkEnd w:id="121"/>
      <w:bookmarkStart w:id="122" w:name="_Toc184308043"/>
      <w:bookmarkEnd w:id="122"/>
      <w:bookmarkStart w:id="123" w:name="_Toc184310296"/>
      <w:bookmarkEnd w:id="123"/>
      <w:bookmarkStart w:id="124" w:name="_Toc184310316"/>
      <w:bookmarkEnd w:id="124"/>
      <w:bookmarkStart w:id="125" w:name="_Toc184310344"/>
      <w:bookmarkEnd w:id="125"/>
      <w:bookmarkStart w:id="126" w:name="_Toc184314452"/>
      <w:bookmarkEnd w:id="126"/>
      <w:bookmarkStart w:id="127" w:name="_Toc184312136"/>
      <w:bookmarkEnd w:id="127"/>
      <w:bookmarkStart w:id="128" w:name="_Toc184308046"/>
      <w:bookmarkEnd w:id="128"/>
      <w:bookmarkStart w:id="129" w:name="_Toc184308093"/>
      <w:bookmarkEnd w:id="129"/>
      <w:bookmarkStart w:id="130" w:name="_Toc184310280"/>
      <w:bookmarkEnd w:id="130"/>
      <w:bookmarkStart w:id="131" w:name="_Toc184308107"/>
      <w:bookmarkEnd w:id="131"/>
      <w:bookmarkStart w:id="132" w:name="_Toc184312112"/>
      <w:bookmarkEnd w:id="132"/>
      <w:bookmarkStart w:id="133" w:name="_Toc184314468"/>
      <w:bookmarkEnd w:id="133"/>
      <w:bookmarkStart w:id="134" w:name="_Toc184310320"/>
      <w:bookmarkEnd w:id="134"/>
      <w:bookmarkStart w:id="135" w:name="_Toc184308044"/>
      <w:bookmarkEnd w:id="135"/>
      <w:bookmarkStart w:id="136" w:name="_Toc184310330"/>
      <w:bookmarkEnd w:id="136"/>
      <w:bookmarkStart w:id="137" w:name="_Toc184312108"/>
      <w:bookmarkEnd w:id="137"/>
      <w:bookmarkStart w:id="138" w:name="_Toc184313300"/>
      <w:bookmarkEnd w:id="138"/>
      <w:bookmarkStart w:id="139" w:name="_Toc184313258"/>
      <w:bookmarkEnd w:id="139"/>
      <w:bookmarkStart w:id="140" w:name="_Toc184314419"/>
      <w:bookmarkEnd w:id="140"/>
      <w:bookmarkStart w:id="141" w:name="_Toc184310324"/>
      <w:bookmarkEnd w:id="141"/>
      <w:bookmarkStart w:id="142" w:name="_Toc184308081"/>
      <w:bookmarkEnd w:id="142"/>
      <w:bookmarkStart w:id="143" w:name="_Toc184312075"/>
      <w:bookmarkEnd w:id="143"/>
      <w:bookmarkStart w:id="144" w:name="_Toc184308102"/>
      <w:bookmarkEnd w:id="144"/>
      <w:bookmarkStart w:id="145" w:name="_Toc184312090"/>
      <w:bookmarkEnd w:id="145"/>
      <w:bookmarkStart w:id="146" w:name="_Toc184312117"/>
      <w:bookmarkEnd w:id="146"/>
      <w:bookmarkStart w:id="147" w:name="_Toc184313305"/>
      <w:bookmarkEnd w:id="147"/>
      <w:bookmarkStart w:id="148" w:name="_Toc184314424"/>
      <w:bookmarkEnd w:id="148"/>
      <w:bookmarkStart w:id="149" w:name="_Toc184312125"/>
      <w:bookmarkEnd w:id="149"/>
      <w:bookmarkStart w:id="150" w:name="_Toc184314442"/>
      <w:bookmarkEnd w:id="150"/>
      <w:bookmarkStart w:id="151" w:name="_Toc184310273"/>
      <w:bookmarkEnd w:id="151"/>
      <w:bookmarkStart w:id="152" w:name="_Toc184310328"/>
      <w:bookmarkEnd w:id="152"/>
      <w:bookmarkStart w:id="153" w:name="_Toc184308097"/>
      <w:bookmarkEnd w:id="153"/>
      <w:bookmarkStart w:id="154" w:name="_Toc184308080"/>
      <w:bookmarkEnd w:id="154"/>
      <w:bookmarkStart w:id="155" w:name="_Toc184310309"/>
      <w:bookmarkEnd w:id="155"/>
      <w:bookmarkStart w:id="156" w:name="_Toc184314459"/>
      <w:bookmarkEnd w:id="156"/>
      <w:bookmarkStart w:id="157" w:name="_Toc184314451"/>
      <w:bookmarkEnd w:id="157"/>
      <w:bookmarkStart w:id="158" w:name="_Toc184314429"/>
      <w:bookmarkEnd w:id="158"/>
      <w:bookmarkStart w:id="159" w:name="_Toc184314453"/>
      <w:bookmarkEnd w:id="159"/>
      <w:bookmarkStart w:id="160" w:name="_Toc184312091"/>
      <w:bookmarkEnd w:id="160"/>
      <w:bookmarkStart w:id="161" w:name="_Toc184308072"/>
      <w:bookmarkEnd w:id="161"/>
      <w:bookmarkStart w:id="162" w:name="_Toc184314416"/>
      <w:bookmarkEnd w:id="162"/>
      <w:bookmarkStart w:id="163" w:name="_Toc184308078"/>
      <w:bookmarkEnd w:id="163"/>
      <w:bookmarkStart w:id="164" w:name="_Toc184314421"/>
      <w:bookmarkEnd w:id="164"/>
      <w:bookmarkStart w:id="165" w:name="_Toc184312113"/>
      <w:bookmarkEnd w:id="165"/>
      <w:bookmarkStart w:id="166" w:name="_Toc184313288"/>
      <w:bookmarkEnd w:id="166"/>
      <w:bookmarkStart w:id="167" w:name="_Toc184308077"/>
      <w:bookmarkEnd w:id="167"/>
      <w:bookmarkStart w:id="168" w:name="_Toc184308061"/>
      <w:bookmarkEnd w:id="168"/>
      <w:bookmarkStart w:id="169" w:name="_Toc184308039"/>
      <w:bookmarkEnd w:id="169"/>
      <w:bookmarkStart w:id="170" w:name="_Toc184312130"/>
      <w:bookmarkEnd w:id="170"/>
      <w:bookmarkStart w:id="171" w:name="_Toc184313294"/>
      <w:bookmarkEnd w:id="171"/>
      <w:bookmarkStart w:id="172" w:name="_Toc184314420"/>
      <w:bookmarkEnd w:id="172"/>
      <w:bookmarkStart w:id="173" w:name="_Toc184308038"/>
      <w:bookmarkEnd w:id="173"/>
      <w:bookmarkStart w:id="174" w:name="_Toc184312115"/>
      <w:bookmarkEnd w:id="174"/>
      <w:bookmarkStart w:id="175" w:name="_Toc184310322"/>
      <w:bookmarkEnd w:id="175"/>
      <w:bookmarkStart w:id="176" w:name="_Toc184310307"/>
      <w:bookmarkEnd w:id="176"/>
      <w:bookmarkStart w:id="177" w:name="_Toc184313302"/>
      <w:bookmarkEnd w:id="177"/>
      <w:bookmarkStart w:id="178" w:name="_Toc184313271"/>
      <w:bookmarkEnd w:id="178"/>
      <w:bookmarkStart w:id="179" w:name="_Toc184314475"/>
      <w:bookmarkEnd w:id="179"/>
      <w:bookmarkStart w:id="180" w:name="_Toc184314467"/>
      <w:bookmarkEnd w:id="180"/>
      <w:bookmarkStart w:id="181" w:name="_Toc184312129"/>
      <w:bookmarkEnd w:id="181"/>
      <w:bookmarkStart w:id="182" w:name="_Toc184314411"/>
      <w:bookmarkEnd w:id="182"/>
      <w:bookmarkStart w:id="183" w:name="_Toc184310288"/>
      <w:bookmarkEnd w:id="183"/>
      <w:bookmarkStart w:id="184" w:name="_Toc184308036"/>
      <w:bookmarkEnd w:id="184"/>
      <w:bookmarkStart w:id="185" w:name="_Toc184310340"/>
      <w:bookmarkEnd w:id="185"/>
      <w:bookmarkStart w:id="186" w:name="_Toc184313274"/>
      <w:bookmarkEnd w:id="186"/>
      <w:bookmarkStart w:id="187" w:name="_Toc184312114"/>
      <w:bookmarkEnd w:id="187"/>
      <w:bookmarkStart w:id="188" w:name="_Toc184308082"/>
      <w:bookmarkEnd w:id="188"/>
      <w:bookmarkStart w:id="189" w:name="_Toc184310315"/>
      <w:bookmarkEnd w:id="189"/>
      <w:bookmarkStart w:id="190" w:name="_Toc184310278"/>
      <w:bookmarkEnd w:id="190"/>
      <w:bookmarkStart w:id="191" w:name="_Toc184313277"/>
      <w:bookmarkEnd w:id="191"/>
      <w:bookmarkStart w:id="192" w:name="_Toc184308051"/>
      <w:bookmarkEnd w:id="192"/>
      <w:bookmarkStart w:id="193" w:name="_Toc184312071"/>
      <w:bookmarkEnd w:id="193"/>
      <w:bookmarkStart w:id="194" w:name="_Toc184312097"/>
      <w:bookmarkEnd w:id="194"/>
      <w:bookmarkStart w:id="195" w:name="_Toc184310285"/>
      <w:bookmarkEnd w:id="195"/>
      <w:bookmarkStart w:id="196" w:name="_Toc184313291"/>
      <w:bookmarkEnd w:id="196"/>
      <w:bookmarkStart w:id="197" w:name="_Toc184314415"/>
      <w:bookmarkEnd w:id="197"/>
      <w:bookmarkStart w:id="198" w:name="_Toc184310323"/>
      <w:bookmarkEnd w:id="198"/>
      <w:bookmarkStart w:id="199" w:name="_Toc184308079"/>
      <w:bookmarkEnd w:id="199"/>
      <w:bookmarkStart w:id="200" w:name="_Toc184313268"/>
      <w:bookmarkEnd w:id="200"/>
      <w:bookmarkStart w:id="201" w:name="_Toc184308066"/>
      <w:bookmarkEnd w:id="201"/>
      <w:bookmarkStart w:id="202" w:name="_Toc184310339"/>
      <w:bookmarkEnd w:id="202"/>
      <w:bookmarkStart w:id="203" w:name="_Toc184310298"/>
      <w:bookmarkEnd w:id="203"/>
      <w:bookmarkStart w:id="204" w:name="_Toc184308108"/>
      <w:bookmarkEnd w:id="204"/>
      <w:bookmarkStart w:id="205" w:name="_Toc184312078"/>
      <w:bookmarkEnd w:id="205"/>
      <w:bookmarkStart w:id="206" w:name="_Toc184312084"/>
      <w:bookmarkEnd w:id="206"/>
      <w:bookmarkStart w:id="207" w:name="_Toc184313241"/>
      <w:bookmarkEnd w:id="207"/>
      <w:bookmarkStart w:id="208" w:name="_Toc184312094"/>
      <w:bookmarkEnd w:id="208"/>
      <w:bookmarkStart w:id="209" w:name="_Toc184308040"/>
      <w:bookmarkEnd w:id="209"/>
      <w:bookmarkStart w:id="210" w:name="_Toc184308084"/>
      <w:bookmarkEnd w:id="210"/>
      <w:bookmarkStart w:id="211" w:name="_Toc184310332"/>
      <w:bookmarkEnd w:id="211"/>
      <w:bookmarkStart w:id="212" w:name="_Toc184312082"/>
      <w:bookmarkEnd w:id="212"/>
      <w:bookmarkStart w:id="213" w:name="_Toc184308094"/>
      <w:bookmarkEnd w:id="213"/>
      <w:bookmarkStart w:id="214" w:name="_Toc184312096"/>
      <w:bookmarkEnd w:id="214"/>
      <w:bookmarkStart w:id="215" w:name="_Toc184314480"/>
      <w:bookmarkEnd w:id="215"/>
      <w:bookmarkStart w:id="216" w:name="_Toc184308068"/>
      <w:bookmarkEnd w:id="216"/>
      <w:bookmarkStart w:id="217" w:name="_Toc184308074"/>
      <w:bookmarkEnd w:id="217"/>
      <w:bookmarkStart w:id="218" w:name="_Toc184312092"/>
      <w:bookmarkEnd w:id="218"/>
      <w:bookmarkStart w:id="219" w:name="_Toc184312069"/>
      <w:bookmarkEnd w:id="219"/>
      <w:bookmarkStart w:id="220" w:name="_Toc184308048"/>
      <w:bookmarkEnd w:id="220"/>
      <w:bookmarkStart w:id="221" w:name="_Toc184312124"/>
      <w:bookmarkEnd w:id="221"/>
      <w:bookmarkStart w:id="222" w:name="_Toc184312100"/>
      <w:bookmarkEnd w:id="222"/>
      <w:bookmarkStart w:id="223" w:name="_Toc184313254"/>
      <w:bookmarkEnd w:id="223"/>
      <w:bookmarkStart w:id="224" w:name="_Toc184314462"/>
      <w:bookmarkEnd w:id="224"/>
      <w:bookmarkStart w:id="225" w:name="_Toc184308090"/>
      <w:bookmarkEnd w:id="225"/>
      <w:bookmarkStart w:id="226" w:name="_Toc184314438"/>
      <w:bookmarkEnd w:id="226"/>
      <w:bookmarkStart w:id="227" w:name="_Toc184313259"/>
      <w:bookmarkEnd w:id="227"/>
      <w:bookmarkStart w:id="228" w:name="_Toc184313266"/>
      <w:bookmarkEnd w:id="228"/>
      <w:bookmarkStart w:id="229" w:name="_Toc184313262"/>
      <w:bookmarkEnd w:id="229"/>
      <w:bookmarkStart w:id="230" w:name="_Toc184313272"/>
      <w:bookmarkEnd w:id="230"/>
      <w:bookmarkStart w:id="231" w:name="_Toc184308059"/>
      <w:bookmarkEnd w:id="231"/>
      <w:bookmarkStart w:id="232" w:name="_Toc184310314"/>
      <w:bookmarkEnd w:id="232"/>
      <w:bookmarkStart w:id="233" w:name="_Toc184310342"/>
      <w:bookmarkEnd w:id="233"/>
      <w:bookmarkStart w:id="234" w:name="_Toc184314447"/>
      <w:bookmarkEnd w:id="234"/>
      <w:bookmarkStart w:id="235" w:name="_Toc184313267"/>
      <w:bookmarkEnd w:id="235"/>
      <w:bookmarkStart w:id="236" w:name="_Toc184313264"/>
      <w:bookmarkEnd w:id="236"/>
      <w:bookmarkStart w:id="237" w:name="_Toc184308083"/>
      <w:bookmarkEnd w:id="237"/>
      <w:bookmarkStart w:id="238" w:name="_Toc184310275"/>
      <w:bookmarkEnd w:id="238"/>
      <w:bookmarkStart w:id="239" w:name="_Toc184308069"/>
      <w:bookmarkEnd w:id="239"/>
      <w:bookmarkStart w:id="240" w:name="_Toc184313281"/>
      <w:bookmarkEnd w:id="240"/>
      <w:bookmarkStart w:id="241" w:name="_Toc184312102"/>
      <w:bookmarkEnd w:id="241"/>
      <w:bookmarkStart w:id="242" w:name="_Toc184314423"/>
      <w:bookmarkEnd w:id="242"/>
      <w:bookmarkStart w:id="243" w:name="_Toc184312101"/>
      <w:bookmarkEnd w:id="243"/>
      <w:bookmarkStart w:id="244" w:name="_Toc184312127"/>
      <w:bookmarkEnd w:id="244"/>
      <w:bookmarkStart w:id="245" w:name="_Toc184314428"/>
      <w:bookmarkEnd w:id="245"/>
      <w:bookmarkStart w:id="246" w:name="_Toc184313249"/>
      <w:bookmarkEnd w:id="246"/>
      <w:bookmarkStart w:id="247" w:name="_Toc184313250"/>
      <w:bookmarkEnd w:id="247"/>
      <w:bookmarkStart w:id="248" w:name="_Toc184314412"/>
      <w:bookmarkEnd w:id="248"/>
      <w:bookmarkStart w:id="249" w:name="_Toc184308060"/>
      <w:bookmarkEnd w:id="249"/>
      <w:bookmarkStart w:id="250" w:name="_Toc184308049"/>
      <w:bookmarkEnd w:id="250"/>
      <w:bookmarkStart w:id="251" w:name="_Toc184313275"/>
      <w:bookmarkEnd w:id="251"/>
      <w:bookmarkStart w:id="252" w:name="_Toc184313293"/>
      <w:bookmarkEnd w:id="252"/>
      <w:bookmarkStart w:id="253" w:name="_Toc184312107"/>
      <w:bookmarkEnd w:id="253"/>
      <w:bookmarkStart w:id="254" w:name="_Toc184308065"/>
      <w:bookmarkEnd w:id="254"/>
      <w:bookmarkStart w:id="255" w:name="_Toc184314445"/>
      <w:bookmarkEnd w:id="255"/>
      <w:bookmarkStart w:id="256" w:name="_Toc184312067"/>
      <w:bookmarkEnd w:id="256"/>
      <w:bookmarkStart w:id="257" w:name="_Toc184310331"/>
      <w:bookmarkEnd w:id="257"/>
      <w:bookmarkStart w:id="258" w:name="_Toc184314482"/>
      <w:bookmarkEnd w:id="258"/>
      <w:bookmarkStart w:id="259" w:name="_Toc184312077"/>
      <w:bookmarkEnd w:id="259"/>
      <w:bookmarkStart w:id="260" w:name="_Toc184314466"/>
      <w:bookmarkEnd w:id="260"/>
      <w:bookmarkStart w:id="261" w:name="_Toc184308086"/>
      <w:bookmarkEnd w:id="261"/>
      <w:bookmarkStart w:id="262" w:name="_Toc184314426"/>
      <w:bookmarkEnd w:id="262"/>
      <w:bookmarkStart w:id="263" w:name="_Toc184312073"/>
      <w:bookmarkEnd w:id="263"/>
      <w:bookmarkStart w:id="264" w:name="_Toc184314437"/>
      <w:bookmarkEnd w:id="264"/>
      <w:bookmarkStart w:id="265" w:name="_Toc184314432"/>
      <w:bookmarkEnd w:id="265"/>
      <w:bookmarkStart w:id="266" w:name="_Toc184312089"/>
      <w:bookmarkEnd w:id="266"/>
      <w:bookmarkStart w:id="267" w:name="_Toc184308041"/>
      <w:bookmarkEnd w:id="267"/>
      <w:bookmarkStart w:id="268" w:name="_Toc184314418"/>
      <w:bookmarkEnd w:id="268"/>
      <w:bookmarkStart w:id="269" w:name="_Toc184313304"/>
      <w:bookmarkEnd w:id="269"/>
      <w:bookmarkStart w:id="270" w:name="_Toc184308053"/>
      <w:bookmarkEnd w:id="270"/>
      <w:bookmarkStart w:id="271" w:name="_Toc184312086"/>
      <w:bookmarkEnd w:id="271"/>
      <w:bookmarkStart w:id="272" w:name="_Toc184314455"/>
      <w:bookmarkEnd w:id="272"/>
      <w:bookmarkStart w:id="273" w:name="_Toc184313284"/>
      <w:bookmarkEnd w:id="273"/>
      <w:bookmarkStart w:id="274" w:name="_Toc184313239"/>
      <w:bookmarkEnd w:id="274"/>
      <w:bookmarkStart w:id="275" w:name="_Toc184310281"/>
      <w:bookmarkEnd w:id="275"/>
      <w:bookmarkStart w:id="276" w:name="_Toc184310293"/>
      <w:bookmarkEnd w:id="276"/>
      <w:bookmarkStart w:id="277" w:name="_Toc184312106"/>
      <w:bookmarkEnd w:id="277"/>
      <w:bookmarkStart w:id="278" w:name="_Toc184314431"/>
      <w:bookmarkEnd w:id="278"/>
      <w:bookmarkStart w:id="279" w:name="_Toc184314422"/>
      <w:bookmarkEnd w:id="279"/>
      <w:bookmarkStart w:id="280" w:name="_Toc184314444"/>
      <w:bookmarkEnd w:id="280"/>
      <w:bookmarkStart w:id="281" w:name="_Toc184314463"/>
      <w:bookmarkEnd w:id="281"/>
      <w:bookmarkStart w:id="282" w:name="_Toc184312135"/>
      <w:bookmarkEnd w:id="282"/>
      <w:bookmarkStart w:id="283" w:name="_Toc184312095"/>
      <w:bookmarkEnd w:id="283"/>
      <w:bookmarkStart w:id="284" w:name="_Toc184310341"/>
      <w:bookmarkEnd w:id="284"/>
      <w:bookmarkStart w:id="285" w:name="_Toc184314476"/>
      <w:bookmarkEnd w:id="285"/>
      <w:bookmarkStart w:id="286" w:name="_Toc184312131"/>
      <w:bookmarkEnd w:id="286"/>
      <w:bookmarkStart w:id="287" w:name="_Toc184314443"/>
      <w:bookmarkEnd w:id="287"/>
      <w:bookmarkStart w:id="288" w:name="_Toc184313247"/>
      <w:bookmarkEnd w:id="288"/>
      <w:bookmarkStart w:id="289" w:name="_Toc184310272"/>
      <w:bookmarkEnd w:id="289"/>
      <w:bookmarkStart w:id="290" w:name="_Toc184312072"/>
      <w:bookmarkEnd w:id="290"/>
      <w:bookmarkStart w:id="291" w:name="_Toc184314458"/>
      <w:bookmarkEnd w:id="291"/>
      <w:bookmarkStart w:id="292" w:name="_Toc184310290"/>
      <w:bookmarkEnd w:id="292"/>
      <w:bookmarkStart w:id="293" w:name="_Toc184312111"/>
      <w:bookmarkEnd w:id="293"/>
      <w:bookmarkStart w:id="294" w:name="_Toc184308057"/>
      <w:bookmarkEnd w:id="294"/>
      <w:bookmarkStart w:id="295" w:name="_Toc184310319"/>
      <w:bookmarkEnd w:id="295"/>
      <w:bookmarkStart w:id="296" w:name="_Toc184313263"/>
      <w:bookmarkEnd w:id="296"/>
      <w:bookmarkStart w:id="297" w:name="_Toc184312081"/>
      <w:bookmarkEnd w:id="297"/>
      <w:bookmarkStart w:id="298" w:name="_Toc184314477"/>
      <w:bookmarkEnd w:id="298"/>
      <w:bookmarkStart w:id="299" w:name="_Toc184314436"/>
      <w:bookmarkEnd w:id="299"/>
      <w:bookmarkStart w:id="300" w:name="_Toc184314449"/>
      <w:bookmarkEnd w:id="300"/>
      <w:bookmarkStart w:id="301" w:name="_Toc184314441"/>
      <w:bookmarkEnd w:id="301"/>
      <w:bookmarkStart w:id="302" w:name="_Toc184310343"/>
      <w:bookmarkEnd w:id="302"/>
      <w:bookmarkStart w:id="303" w:name="_Toc184310300"/>
      <w:bookmarkEnd w:id="303"/>
      <w:bookmarkStart w:id="304" w:name="_Toc184308099"/>
      <w:bookmarkEnd w:id="304"/>
      <w:bookmarkStart w:id="305" w:name="_Toc184308042"/>
      <w:bookmarkEnd w:id="305"/>
      <w:bookmarkStart w:id="306" w:name="_Toc184312116"/>
      <w:bookmarkEnd w:id="306"/>
      <w:bookmarkStart w:id="307" w:name="_Toc184314481"/>
      <w:bookmarkEnd w:id="307"/>
      <w:bookmarkStart w:id="308" w:name="_Toc184313283"/>
      <w:bookmarkEnd w:id="308"/>
      <w:bookmarkStart w:id="309" w:name="_Toc184308071"/>
      <w:bookmarkEnd w:id="309"/>
      <w:bookmarkStart w:id="310" w:name="_Toc184310303"/>
      <w:bookmarkEnd w:id="310"/>
      <w:bookmarkStart w:id="311" w:name="_Toc184310336"/>
      <w:bookmarkEnd w:id="311"/>
      <w:bookmarkStart w:id="312" w:name="_Toc184313248"/>
      <w:bookmarkEnd w:id="312"/>
      <w:bookmarkStart w:id="313" w:name="_Toc184313289"/>
      <w:bookmarkEnd w:id="313"/>
      <w:bookmarkStart w:id="314" w:name="_Toc184312093"/>
      <w:bookmarkEnd w:id="314"/>
      <w:bookmarkStart w:id="315" w:name="_Toc184312104"/>
      <w:bookmarkEnd w:id="315"/>
      <w:bookmarkStart w:id="316" w:name="_Toc184314479"/>
      <w:bookmarkEnd w:id="316"/>
      <w:bookmarkStart w:id="317" w:name="_Toc184308045"/>
      <w:bookmarkEnd w:id="317"/>
      <w:bookmarkStart w:id="318" w:name="_Toc184312118"/>
      <w:bookmarkEnd w:id="318"/>
      <w:bookmarkStart w:id="319" w:name="_Toc184313242"/>
      <w:bookmarkEnd w:id="319"/>
      <w:bookmarkStart w:id="320" w:name="_Toc184313276"/>
      <w:bookmarkEnd w:id="320"/>
      <w:bookmarkStart w:id="321" w:name="_Toc184308089"/>
      <w:bookmarkEnd w:id="321"/>
      <w:bookmarkStart w:id="322" w:name="_Toc184312085"/>
      <w:bookmarkEnd w:id="322"/>
      <w:bookmarkStart w:id="323" w:name="_Toc184313270"/>
      <w:bookmarkEnd w:id="323"/>
      <w:bookmarkStart w:id="324" w:name="_Toc184312083"/>
      <w:bookmarkEnd w:id="324"/>
      <w:bookmarkStart w:id="325" w:name="_Toc184312068"/>
      <w:bookmarkEnd w:id="325"/>
      <w:bookmarkStart w:id="326" w:name="_Toc184310294"/>
      <w:bookmarkEnd w:id="326"/>
      <w:bookmarkStart w:id="327" w:name="_Toc184308103"/>
      <w:bookmarkEnd w:id="327"/>
      <w:bookmarkStart w:id="328" w:name="_Toc184308054"/>
      <w:bookmarkEnd w:id="328"/>
      <w:bookmarkStart w:id="329" w:name="_Toc184314460"/>
      <w:bookmarkEnd w:id="329"/>
      <w:bookmarkStart w:id="330" w:name="_Toc184310325"/>
      <w:bookmarkEnd w:id="330"/>
      <w:bookmarkStart w:id="331" w:name="_Toc184308062"/>
      <w:bookmarkEnd w:id="331"/>
      <w:bookmarkStart w:id="332" w:name="_Toc184308064"/>
      <w:bookmarkEnd w:id="332"/>
      <w:bookmarkStart w:id="333" w:name="_Toc184313297"/>
      <w:bookmarkEnd w:id="333"/>
      <w:bookmarkStart w:id="334" w:name="_Toc184313244"/>
      <w:bookmarkEnd w:id="334"/>
      <w:bookmarkStart w:id="335" w:name="_Toc184310283"/>
      <w:bookmarkEnd w:id="335"/>
      <w:bookmarkStart w:id="336" w:name="_Toc184308101"/>
      <w:bookmarkEnd w:id="336"/>
      <w:bookmarkStart w:id="337" w:name="_Toc184308050"/>
      <w:bookmarkEnd w:id="337"/>
      <w:bookmarkStart w:id="338" w:name="_Toc184310286"/>
      <w:bookmarkEnd w:id="338"/>
      <w:bookmarkStart w:id="339" w:name="_Toc184310318"/>
      <w:bookmarkEnd w:id="339"/>
      <w:bookmarkStart w:id="340" w:name="_Toc184312074"/>
      <w:bookmarkEnd w:id="340"/>
      <w:bookmarkStart w:id="341" w:name="_Toc184310333"/>
      <w:bookmarkEnd w:id="341"/>
      <w:bookmarkStart w:id="342" w:name="_Toc184310287"/>
      <w:bookmarkEnd w:id="342"/>
      <w:bookmarkStart w:id="343" w:name="_Toc184310277"/>
      <w:bookmarkEnd w:id="343"/>
      <w:bookmarkStart w:id="344" w:name="_Toc184312103"/>
      <w:bookmarkEnd w:id="344"/>
      <w:bookmarkStart w:id="345" w:name="_Toc184312087"/>
      <w:bookmarkEnd w:id="345"/>
      <w:bookmarkStart w:id="346" w:name="_Toc184313269"/>
      <w:bookmarkEnd w:id="346"/>
      <w:bookmarkStart w:id="347" w:name="_Toc184308091"/>
      <w:bookmarkEnd w:id="347"/>
      <w:bookmarkStart w:id="348" w:name="_Toc184310274"/>
      <w:bookmarkEnd w:id="348"/>
      <w:bookmarkStart w:id="349" w:name="_Toc184314446"/>
      <w:bookmarkEnd w:id="349"/>
      <w:bookmarkStart w:id="350" w:name="_Toc184313273"/>
      <w:bookmarkEnd w:id="350"/>
      <w:bookmarkStart w:id="351" w:name="_Toc184313243"/>
      <w:bookmarkEnd w:id="351"/>
      <w:bookmarkStart w:id="352" w:name="_Toc184314435"/>
      <w:bookmarkEnd w:id="352"/>
      <w:bookmarkStart w:id="353" w:name="_Toc184308087"/>
      <w:bookmarkEnd w:id="353"/>
      <w:bookmarkStart w:id="354" w:name="_Toc184312076"/>
      <w:bookmarkEnd w:id="354"/>
      <w:bookmarkStart w:id="355" w:name="_Toc184310304"/>
      <w:bookmarkEnd w:id="355"/>
      <w:bookmarkStart w:id="356" w:name="_Toc184313245"/>
      <w:bookmarkEnd w:id="356"/>
      <w:bookmarkStart w:id="357" w:name="_Toc184310308"/>
      <w:bookmarkEnd w:id="357"/>
      <w:bookmarkStart w:id="358" w:name="_Toc184308098"/>
      <w:bookmarkEnd w:id="358"/>
      <w:bookmarkStart w:id="359" w:name="_Toc184313240"/>
      <w:bookmarkEnd w:id="359"/>
      <w:bookmarkStart w:id="360" w:name="_Toc184313286"/>
      <w:bookmarkEnd w:id="360"/>
      <w:bookmarkStart w:id="361" w:name="_Toc184313295"/>
      <w:bookmarkEnd w:id="361"/>
      <w:bookmarkStart w:id="362" w:name="_Toc184312088"/>
      <w:bookmarkEnd w:id="362"/>
      <w:bookmarkStart w:id="363" w:name="_Toc184308106"/>
      <w:bookmarkEnd w:id="363"/>
      <w:bookmarkStart w:id="364" w:name="_Toc184314456"/>
      <w:bookmarkEnd w:id="364"/>
      <w:bookmarkStart w:id="365" w:name="_Toc184314470"/>
      <w:bookmarkEnd w:id="365"/>
      <w:bookmarkStart w:id="366" w:name="_Toc184314430"/>
      <w:bookmarkEnd w:id="366"/>
      <w:bookmarkStart w:id="367" w:name="_Toc184313287"/>
      <w:bookmarkEnd w:id="367"/>
      <w:bookmarkStart w:id="368" w:name="_Toc184313307"/>
      <w:bookmarkEnd w:id="368"/>
      <w:bookmarkStart w:id="369" w:name="_Toc184312099"/>
      <w:bookmarkEnd w:id="369"/>
      <w:bookmarkStart w:id="370" w:name="_Toc184312110"/>
      <w:bookmarkEnd w:id="370"/>
      <w:bookmarkStart w:id="371" w:name="_Toc184314461"/>
      <w:bookmarkEnd w:id="371"/>
      <w:bookmarkStart w:id="372" w:name="_Toc184308085"/>
      <w:bookmarkEnd w:id="372"/>
      <w:bookmarkStart w:id="373" w:name="_Toc184308058"/>
      <w:bookmarkEnd w:id="373"/>
      <w:bookmarkStart w:id="374" w:name="_Toc184314425"/>
      <w:bookmarkEnd w:id="374"/>
      <w:bookmarkStart w:id="375" w:name="_Toc184312098"/>
      <w:bookmarkEnd w:id="375"/>
      <w:bookmarkStart w:id="376" w:name="_Toc184308063"/>
      <w:bookmarkEnd w:id="376"/>
      <w:bookmarkStart w:id="377" w:name="_Toc184314417"/>
      <w:bookmarkEnd w:id="377"/>
      <w:bookmarkStart w:id="378" w:name="_Toc184314448"/>
      <w:bookmarkEnd w:id="378"/>
      <w:bookmarkStart w:id="379" w:name="_Toc184313285"/>
      <w:bookmarkEnd w:id="379"/>
      <w:bookmarkStart w:id="380" w:name="_Toc184313260"/>
      <w:bookmarkEnd w:id="380"/>
      <w:bookmarkStart w:id="381" w:name="_Toc184313256"/>
      <w:bookmarkEnd w:id="381"/>
      <w:bookmarkStart w:id="382" w:name="_Toc184314478"/>
      <w:bookmarkEnd w:id="382"/>
      <w:bookmarkStart w:id="383" w:name="_Toc184314471"/>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9"/>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8"/>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 xml:space="preserve">2025年临江公司非标件测绘服务采购项目  </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7"/>
        <w:ind w:firstLine="214"/>
        <w:jc w:val="center"/>
        <w:rPr>
          <w:rFonts w:hint="eastAsia"/>
          <w:b/>
          <w:bCs/>
        </w:rPr>
      </w:pPr>
      <w:r>
        <w:rPr>
          <w:rFonts w:hint="eastAsia"/>
          <w:b/>
          <w:bCs/>
        </w:rPr>
        <w:t>目录</w:t>
      </w:r>
    </w:p>
    <w:p w14:paraId="0AB018B5">
      <w:pPr>
        <w:pStyle w:val="9"/>
        <w:spacing w:line="360" w:lineRule="auto"/>
        <w:ind w:firstLine="480" w:firstLineChars="200"/>
      </w:pPr>
      <w:r>
        <w:rPr>
          <w:rFonts w:hint="eastAsia"/>
        </w:rPr>
        <w:t>第一章 合同书  …………………………………………………………（页码）</w:t>
      </w:r>
    </w:p>
    <w:p w14:paraId="61B39EFC">
      <w:pPr>
        <w:pStyle w:val="9"/>
        <w:spacing w:line="360" w:lineRule="auto"/>
        <w:ind w:firstLine="480" w:firstLineChars="200"/>
        <w:rPr>
          <w:rFonts w:hint="eastAsia"/>
        </w:rPr>
      </w:pPr>
      <w:r>
        <w:rPr>
          <w:rFonts w:hint="eastAsia"/>
        </w:rPr>
        <w:t>第二章 合同一般条款……………………………………………………（页码）</w:t>
      </w:r>
    </w:p>
    <w:p w14:paraId="2C41F9F7">
      <w:pPr>
        <w:pStyle w:val="9"/>
        <w:spacing w:line="360" w:lineRule="auto"/>
        <w:ind w:firstLine="480" w:firstLineChars="200"/>
        <w:rPr>
          <w:rFonts w:hint="eastAsia"/>
        </w:rPr>
      </w:pPr>
      <w:r>
        <w:rPr>
          <w:rFonts w:hint="eastAsia"/>
        </w:rPr>
        <w:t>第三章 安全协议…………………………………………………………（页码）</w:t>
      </w:r>
    </w:p>
    <w:p w14:paraId="6B79F37E">
      <w:pPr>
        <w:pStyle w:val="9"/>
        <w:spacing w:line="360" w:lineRule="auto"/>
        <w:ind w:firstLine="480" w:firstLineChars="2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3"/>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2025年临江公司非标件测绘服务采购项目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89B9806">
      <w:pPr>
        <w:pStyle w:val="6"/>
        <w:numPr>
          <w:ilvl w:val="0"/>
          <w:numId w:val="0"/>
        </w:numPr>
        <w:ind w:firstLine="480" w:firstLineChars="200"/>
        <w:rPr>
          <w:rFonts w:hint="eastAsia" w:ascii="宋体" w:hAnsi="宋体"/>
          <w:color w:val="auto"/>
          <w:sz w:val="24"/>
          <w:lang w:val="en-US" w:eastAsia="zh-CN"/>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元人民币），</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lang w:val="en-US" w:eastAsia="zh-CN"/>
        </w:rPr>
        <w:t>合同总价中包含了</w:t>
      </w:r>
      <w:r>
        <w:rPr>
          <w:rFonts w:hint="eastAsia" w:hAnsi="宋体"/>
          <w:color w:val="auto"/>
          <w:sz w:val="24"/>
          <w:lang w:val="en-US" w:eastAsia="zh-CN"/>
        </w:rPr>
        <w:t>差旅、食宿、工具、人</w:t>
      </w:r>
      <w:r>
        <w:rPr>
          <w:rFonts w:hint="eastAsia" w:ascii="宋体" w:hAnsi="宋体"/>
          <w:color w:val="auto"/>
          <w:sz w:val="24"/>
          <w:lang w:val="en-US" w:eastAsia="zh-CN"/>
        </w:rPr>
        <w:t>工费等所有费用。</w:t>
      </w:r>
    </w:p>
    <w:p w14:paraId="5F46B1CA">
      <w:pPr>
        <w:spacing w:line="360" w:lineRule="auto"/>
        <w:ind w:firstLine="480" w:firstLineChars="200"/>
        <w:rPr>
          <w:rFonts w:hint="eastAsia"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 xml:space="preserve"> （2）   </w:t>
      </w:r>
      <w:r>
        <w:rPr>
          <w:rFonts w:hint="eastAsia" w:ascii="宋体" w:hAnsi="宋体" w:cs="宋体"/>
          <w:sz w:val="24"/>
          <w:u w:val="single"/>
        </w:rPr>
        <w:t xml:space="preserve"> </w:t>
      </w:r>
      <w:r>
        <w:rPr>
          <w:rFonts w:hint="eastAsia" w:ascii="宋体" w:hAnsi="宋体" w:cs="宋体"/>
          <w:sz w:val="24"/>
        </w:rPr>
        <w:t>条款规定的计价方式计价。</w:t>
      </w:r>
    </w:p>
    <w:p w14:paraId="0A17819B">
      <w:pPr>
        <w:spacing w:line="360" w:lineRule="auto"/>
        <w:ind w:firstLine="480" w:firstLineChars="200"/>
        <w:rPr>
          <w:rFonts w:hint="eastAsia" w:ascii="宋体" w:hAnsi="宋体" w:cs="宋体"/>
          <w:sz w:val="24"/>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甲方不再另行支付任何费用。分项清单如下：</w:t>
      </w:r>
      <w:r>
        <w:rPr>
          <w:rFonts w:hint="eastAsia" w:ascii="宋体" w:hAnsi="宋体" w:cs="宋体"/>
          <w:sz w:val="24"/>
        </w:rPr>
        <w:t xml:space="preserve"> </w:t>
      </w:r>
    </w:p>
    <w:tbl>
      <w:tblPr>
        <w:tblStyle w:val="15"/>
        <w:tblW w:w="9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1864"/>
        <w:gridCol w:w="2199"/>
        <w:gridCol w:w="2346"/>
        <w:gridCol w:w="800"/>
        <w:gridCol w:w="682"/>
        <w:gridCol w:w="1232"/>
      </w:tblGrid>
      <w:tr w14:paraId="1EB4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C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9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7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服务要求</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90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7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5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883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单价金额</w:t>
            </w:r>
          </w:p>
        </w:tc>
      </w:tr>
      <w:tr w14:paraId="2007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4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233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机械非标件测绘</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E6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非标件测绘，制作CAD电子版图纸及A3纸质图纸</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4C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olor w:val="auto"/>
                <w:highlight w:val="none"/>
                <w:lang w:val="en-US" w:eastAsia="zh-CN"/>
              </w:rPr>
              <w:t>机械密封配件、公用刮板机配件、出渣机配件、撕碎机配件等，具体</w:t>
            </w:r>
            <w:r>
              <w:rPr>
                <w:rFonts w:hint="eastAsia" w:ascii="宋体" w:hAnsi="宋体" w:eastAsia="宋体" w:cs="宋体"/>
                <w:i w:val="0"/>
                <w:iCs w:val="0"/>
                <w:color w:val="000000"/>
                <w:kern w:val="0"/>
                <w:sz w:val="22"/>
                <w:szCs w:val="22"/>
                <w:u w:val="none"/>
                <w:lang w:val="en-US" w:eastAsia="zh-CN" w:bidi="ar"/>
              </w:rPr>
              <w:t>根据采购人实际需求为准。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F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089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41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E963DDB">
      <w:pPr>
        <w:spacing w:line="360" w:lineRule="auto"/>
        <w:ind w:firstLine="482" w:firstLineChars="200"/>
        <w:outlineLvl w:val="0"/>
        <w:rPr>
          <w:rFonts w:ascii="宋体" w:hAnsi="宋体"/>
          <w:b/>
          <w:sz w:val="24"/>
        </w:rPr>
      </w:pPr>
      <w:bookmarkStart w:id="384" w:name="_Toc22618"/>
      <w:bookmarkStart w:id="385" w:name="_Toc10340"/>
      <w:bookmarkStart w:id="386" w:name="_Toc1814"/>
      <w:bookmarkStart w:id="387" w:name="_Toc8772"/>
      <w:bookmarkStart w:id="388" w:name="_Toc11108"/>
      <w:bookmarkStart w:id="389" w:name="_Toc4760"/>
      <w:bookmarkStart w:id="390" w:name="_Toc31421"/>
      <w:bookmarkStart w:id="391" w:name="_Toc3625"/>
      <w:r>
        <w:rPr>
          <w:rFonts w:hint="eastAsia" w:ascii="宋体" w:hAnsi="宋体"/>
          <w:b/>
          <w:sz w:val="24"/>
        </w:rPr>
        <w:t>三、</w:t>
      </w:r>
      <w:r>
        <w:rPr>
          <w:rFonts w:hint="eastAsia" w:ascii="宋体" w:hAnsi="宋体"/>
          <w:b/>
          <w:sz w:val="24"/>
          <w:lang w:val="en-US" w:eastAsia="zh-CN"/>
        </w:rPr>
        <w:t>合同服务</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Cs/>
          <w:sz w:val="24"/>
          <w:u w:val="single"/>
        </w:rPr>
        <w:t>浙江省杭州市钱塘区临江街道红十五路10388-123号，杭州临江环境能源有限公司厂区内</w:t>
      </w:r>
      <w:r>
        <w:rPr>
          <w:rFonts w:hint="eastAsia" w:ascii="宋体" w:hAnsi="宋体"/>
          <w:iCs/>
          <w:sz w:val="24"/>
          <w:u w:val="none"/>
        </w:rPr>
        <w:t>；</w:t>
      </w:r>
    </w:p>
    <w:p w14:paraId="208B56E0">
      <w:pPr>
        <w:spacing w:line="360" w:lineRule="auto"/>
        <w:ind w:firstLine="480" w:firstLineChars="200"/>
        <w:rPr>
          <w:rFonts w:ascii="宋体" w:hAnsi="宋体"/>
          <w:sz w:val="24"/>
        </w:rPr>
      </w:pPr>
      <w:r>
        <w:rPr>
          <w:rFonts w:hint="eastAsia" w:ascii="宋体" w:hAnsi="宋体"/>
          <w:sz w:val="24"/>
        </w:rPr>
        <w:t>3.服务交付（实</w:t>
      </w:r>
      <w:r>
        <w:rPr>
          <w:rFonts w:hint="eastAsia" w:ascii="宋体" w:hAnsi="宋体"/>
          <w:color w:val="auto"/>
          <w:sz w:val="24"/>
        </w:rPr>
        <w:t>施）的方式：</w:t>
      </w:r>
      <w:r>
        <w:rPr>
          <w:rFonts w:hint="eastAsia" w:ascii="宋体" w:hAnsi="宋体"/>
          <w:b/>
          <w:iCs/>
          <w:color w:val="auto"/>
          <w:sz w:val="24"/>
          <w:u w:val="single"/>
          <w:lang w:val="en-US" w:eastAsia="zh-CN"/>
        </w:rPr>
        <w:t>提供测绘图纸A3及CAD电子版图；</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5F9E3CF1">
      <w:pPr>
        <w:spacing w:line="360" w:lineRule="auto"/>
        <w:ind w:firstLine="480" w:firstLineChars="200"/>
        <w:outlineLvl w:val="0"/>
        <w:rPr>
          <w:rFonts w:hint="default" w:ascii="宋体" w:hAnsi="宋体" w:eastAsia="宋体" w:cs="宋体"/>
          <w:color w:val="auto"/>
          <w:sz w:val="24"/>
          <w:highlight w:val="yellow"/>
          <w:u w:val="single"/>
          <w:lang w:val="en-US" w:eastAsia="zh-CN"/>
        </w:rPr>
      </w:pPr>
      <w:r>
        <w:rPr>
          <w:rFonts w:hint="eastAsia" w:ascii="宋体" w:hAnsi="宋体" w:cs="宋体"/>
          <w:sz w:val="24"/>
        </w:rPr>
        <w:t>2.乙方所供</w:t>
      </w:r>
      <w:r>
        <w:rPr>
          <w:rFonts w:hint="eastAsia" w:ascii="宋体" w:hAnsi="宋体" w:cs="宋体"/>
          <w:sz w:val="24"/>
          <w:lang w:val="en-US" w:eastAsia="zh-CN"/>
        </w:rPr>
        <w:t>服务</w:t>
      </w:r>
      <w:r>
        <w:rPr>
          <w:rFonts w:hint="eastAsia" w:ascii="宋体" w:hAnsi="宋体" w:cs="宋体"/>
          <w:sz w:val="24"/>
        </w:rPr>
        <w:t>应满足合同约定要求，有国家、地方、行业标准、规范（含强制适用标准、规范和推荐适用标准、规范）的，按相应标准、规范执行（不同标准、</w:t>
      </w:r>
      <w:r>
        <w:rPr>
          <w:rFonts w:hint="eastAsia" w:ascii="宋体" w:hAnsi="宋体" w:cs="宋体"/>
          <w:color w:val="auto"/>
          <w:sz w:val="24"/>
        </w:rPr>
        <w:t>规范之间要求不一的，按要求较高者执行）</w:t>
      </w:r>
      <w:r>
        <w:rPr>
          <w:rFonts w:hint="eastAsia" w:ascii="宋体" w:hAnsi="宋体" w:cs="宋体"/>
          <w:color w:val="auto"/>
          <w:sz w:val="24"/>
          <w:highlight w:val="none"/>
        </w:rPr>
        <w:t>；</w:t>
      </w:r>
    </w:p>
    <w:p w14:paraId="136696E4">
      <w:pPr>
        <w:pStyle w:val="6"/>
        <w:numPr>
          <w:ilvl w:val="0"/>
          <w:numId w:val="0"/>
        </w:numPr>
        <w:ind w:firstLine="480" w:firstLineChars="200"/>
        <w:rPr>
          <w:rFonts w:hint="default" w:eastAsiaTheme="minorEastAsia"/>
          <w:lang w:val="en-US" w:eastAsia="zh-CN"/>
        </w:rPr>
      </w:pPr>
      <w:r>
        <w:rPr>
          <w:rFonts w:hint="eastAsia" w:ascii="宋体" w:hAnsi="宋体" w:eastAsia="宋体" w:cs="宋体"/>
          <w:sz w:val="24"/>
          <w:szCs w:val="24"/>
          <w:highlight w:val="none"/>
          <w:lang w:val="en-US" w:eastAsia="zh-CN"/>
        </w:rPr>
        <w:t>3.</w:t>
      </w:r>
      <w:r>
        <w:rPr>
          <w:rFonts w:hint="eastAsia" w:hAnsi="宋体" w:eastAsia="宋体" w:cs="宋体"/>
          <w:sz w:val="24"/>
          <w:szCs w:val="24"/>
          <w:highlight w:val="none"/>
          <w:lang w:val="en-US" w:eastAsia="zh-CN"/>
        </w:rPr>
        <w:t>乙方</w:t>
      </w:r>
      <w:r>
        <w:rPr>
          <w:rFonts w:hint="eastAsia"/>
          <w:lang w:val="en-US"/>
        </w:rPr>
        <w:t>根据</w:t>
      </w:r>
      <w:r>
        <w:rPr>
          <w:rFonts w:hint="eastAsia"/>
          <w:lang w:val="en-US" w:eastAsia="zh-CN"/>
        </w:rPr>
        <w:t>甲方测绘</w:t>
      </w:r>
      <w:r>
        <w:rPr>
          <w:rFonts w:hint="eastAsia"/>
          <w:lang w:val="en-US"/>
        </w:rPr>
        <w:t>计划</w:t>
      </w:r>
      <w:r>
        <w:rPr>
          <w:rFonts w:hint="eastAsia"/>
          <w:highlight w:val="none"/>
          <w:lang w:val="en-US"/>
        </w:rPr>
        <w:t>，分</w:t>
      </w:r>
      <w:r>
        <w:rPr>
          <w:rFonts w:hint="eastAsia"/>
          <w:highlight w:val="none"/>
          <w:lang w:val="en-US" w:eastAsia="zh-CN"/>
        </w:rPr>
        <w:t>批次上门测绘（估计4-5批次）</w:t>
      </w:r>
      <w:r>
        <w:rPr>
          <w:rFonts w:hint="eastAsia"/>
          <w:highlight w:val="none"/>
          <w:lang w:val="en-US"/>
        </w:rPr>
        <w:t>，</w:t>
      </w:r>
      <w:r>
        <w:rPr>
          <w:rFonts w:hint="eastAsia"/>
          <w:highlight w:val="none"/>
          <w:lang w:val="en-US" w:eastAsia="zh-CN"/>
        </w:rPr>
        <w:t>乙方</w:t>
      </w:r>
      <w:r>
        <w:rPr>
          <w:rFonts w:hint="eastAsia"/>
          <w:highlight w:val="none"/>
          <w:lang w:val="en-US"/>
        </w:rPr>
        <w:t>负责在接到</w:t>
      </w:r>
      <w:r>
        <w:rPr>
          <w:rFonts w:hint="eastAsia"/>
          <w:highlight w:val="none"/>
          <w:lang w:val="en-US" w:eastAsia="zh-CN"/>
        </w:rPr>
        <w:t>甲方</w:t>
      </w:r>
      <w:r>
        <w:rPr>
          <w:rFonts w:hint="eastAsia"/>
          <w:highlight w:val="none"/>
          <w:lang w:val="en-US"/>
        </w:rPr>
        <w:t>电话或书面通知后在</w:t>
      </w:r>
      <w:r>
        <w:rPr>
          <w:rFonts w:hint="eastAsia"/>
          <w:highlight w:val="none"/>
          <w:lang w:val="en-US" w:eastAsia="zh-CN"/>
        </w:rPr>
        <w:t>3个工作日</w:t>
      </w:r>
      <w:r>
        <w:rPr>
          <w:rFonts w:hint="eastAsia"/>
          <w:highlight w:val="none"/>
          <w:lang w:val="en-US"/>
        </w:rPr>
        <w:t>内</w:t>
      </w:r>
      <w:r>
        <w:rPr>
          <w:rFonts w:hint="eastAsia"/>
          <w:highlight w:val="none"/>
          <w:lang w:val="en-US" w:eastAsia="zh-CN"/>
        </w:rPr>
        <w:t>上门进行测绘</w:t>
      </w:r>
      <w:r>
        <w:rPr>
          <w:rFonts w:hint="eastAsia"/>
          <w:color w:val="auto"/>
          <w:highlight w:val="none"/>
          <w:lang w:val="en-US"/>
        </w:rPr>
        <w:t>。</w:t>
      </w:r>
    </w:p>
    <w:p w14:paraId="2462085A">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4.乙方应根据须配备足够的测量仪器和设备，以满足各种非标件测绘的工作需要。</w:t>
      </w:r>
    </w:p>
    <w:p w14:paraId="4A2BCE9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5.乙方采用的测量仪器和设备，且必须经过计量部门的检定并在有效期内。应确保所有测量仪器和设备在检测过程中状况良好、性能稳定、测量精度必须满足国家相应规定和标准要求。</w:t>
      </w:r>
    </w:p>
    <w:p w14:paraId="1ACA9F5D">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6.乙方测绘期间应满足采购人的现场管理制度要求，遵守国家、行业、地方法律法规，不得违章</w:t>
      </w:r>
      <w:r>
        <w:rPr>
          <w:rFonts w:hint="eastAsia" w:ascii="宋体" w:hAnsi="宋体" w:eastAsia="宋体" w:cs="宋体"/>
          <w:color w:val="auto"/>
          <w:sz w:val="24"/>
          <w:szCs w:val="24"/>
          <w:highlight w:val="none"/>
          <w:lang w:val="en-US" w:eastAsia="zh-CN"/>
        </w:rPr>
        <w:t>作业，出现任何人员安全事故由乙方自行承担。</w:t>
      </w:r>
    </w:p>
    <w:p w14:paraId="010F6164">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7.乙方在测绘服务期间自备专用工具和服务人员的所有劳防用品。</w:t>
      </w:r>
    </w:p>
    <w:p w14:paraId="514E3E4E">
      <w:pPr>
        <w:pStyle w:val="6"/>
        <w:numPr>
          <w:ilvl w:val="0"/>
          <w:numId w:val="0"/>
        </w:numPr>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lang w:val="en-US" w:eastAsia="zh-CN"/>
        </w:rPr>
        <w:t>8.乙方应</w:t>
      </w:r>
      <w:r>
        <w:rPr>
          <w:rFonts w:hint="eastAsia" w:ascii="宋体" w:hAnsi="宋体" w:eastAsia="宋体" w:cs="宋体"/>
          <w:snapToGrid/>
          <w:kern w:val="2"/>
          <w:sz w:val="24"/>
          <w:szCs w:val="24"/>
          <w:highlight w:val="none"/>
          <w:lang w:val="en-US" w:eastAsia="zh-CN" w:bidi="ar-SA"/>
        </w:rPr>
        <w:t>保留测量记录，并根据不同环节的需求要进行不同程度的历史记录保留，以便后期</w:t>
      </w:r>
      <w:r>
        <w:rPr>
          <w:rFonts w:hint="eastAsia" w:hAnsi="宋体" w:eastAsia="宋体" w:cs="宋体"/>
          <w:snapToGrid/>
          <w:kern w:val="2"/>
          <w:sz w:val="24"/>
          <w:szCs w:val="24"/>
          <w:highlight w:val="none"/>
          <w:lang w:val="en-US" w:eastAsia="zh-CN" w:bidi="ar-SA"/>
        </w:rPr>
        <w:t>采购人</w:t>
      </w:r>
      <w:r>
        <w:rPr>
          <w:rFonts w:hint="eastAsia" w:ascii="宋体" w:hAnsi="宋体" w:eastAsia="宋体" w:cs="宋体"/>
          <w:snapToGrid/>
          <w:kern w:val="2"/>
          <w:sz w:val="24"/>
          <w:szCs w:val="24"/>
          <w:highlight w:val="none"/>
          <w:lang w:val="en-US" w:eastAsia="zh-CN" w:bidi="ar-SA"/>
        </w:rPr>
        <w:t>使用</w:t>
      </w:r>
      <w:r>
        <w:rPr>
          <w:rFonts w:hint="eastAsia" w:hAnsi="宋体" w:eastAsia="宋体" w:cs="宋体"/>
          <w:snapToGrid/>
          <w:kern w:val="2"/>
          <w:sz w:val="24"/>
          <w:szCs w:val="24"/>
          <w:highlight w:val="none"/>
          <w:lang w:val="en-US" w:eastAsia="zh-CN" w:bidi="ar-SA"/>
        </w:rPr>
        <w:t>、</w:t>
      </w:r>
      <w:r>
        <w:rPr>
          <w:rFonts w:hint="eastAsia" w:ascii="宋体" w:hAnsi="宋体" w:eastAsia="宋体" w:cs="宋体"/>
          <w:snapToGrid/>
          <w:kern w:val="2"/>
          <w:sz w:val="24"/>
          <w:szCs w:val="24"/>
          <w:highlight w:val="none"/>
          <w:lang w:val="en-US" w:eastAsia="zh-CN" w:bidi="ar-SA"/>
        </w:rPr>
        <w:t>追溯等</w:t>
      </w:r>
      <w:r>
        <w:rPr>
          <w:rFonts w:hint="eastAsia" w:hAnsi="宋体" w:eastAsia="宋体" w:cs="宋体"/>
          <w:snapToGrid/>
          <w:kern w:val="2"/>
          <w:sz w:val="24"/>
          <w:szCs w:val="24"/>
          <w:highlight w:val="none"/>
          <w:lang w:val="en-US" w:eastAsia="zh-CN" w:bidi="ar-SA"/>
        </w:rPr>
        <w:t>。</w:t>
      </w:r>
    </w:p>
    <w:p w14:paraId="590B9EA1">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9.乙方服务人员差旅、食宿费用含在本次采购范围内，甲方不额外支付费用。</w:t>
      </w:r>
    </w:p>
    <w:p w14:paraId="1A58DA00">
      <w:pPr>
        <w:pStyle w:val="6"/>
        <w:ind w:firstLine="480" w:firstLineChars="200"/>
        <w:rPr>
          <w:rFonts w:hint="eastAsia" w:ascii="宋体"/>
          <w:lang w:val="en-US"/>
        </w:rPr>
      </w:pPr>
      <w:r>
        <w:rPr>
          <w:rFonts w:hint="eastAsia"/>
          <w:highlight w:val="none"/>
          <w:lang w:val="en-US" w:eastAsia="zh-CN"/>
        </w:rPr>
        <w:t>10</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lang w:val="en-US"/>
        </w:rPr>
        <w:t>须在接到</w:t>
      </w:r>
      <w:r>
        <w:rPr>
          <w:rFonts w:hint="eastAsia" w:ascii="宋体"/>
          <w:lang w:val="en-US" w:eastAsia="zh-CN"/>
        </w:rPr>
        <w:t>甲方</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w:t>
      </w:r>
      <w:r>
        <w:rPr>
          <w:rFonts w:hint="eastAsia" w:ascii="宋体"/>
          <w:lang w:val="en-US" w:eastAsia="zh-CN"/>
        </w:rPr>
        <w:t>甲方</w:t>
      </w:r>
      <w:r>
        <w:rPr>
          <w:rFonts w:hint="eastAsia" w:ascii="宋体"/>
          <w:lang w:val="en-US"/>
        </w:rPr>
        <w:t>通知后,</w:t>
      </w:r>
      <w:r>
        <w:rPr>
          <w:rFonts w:hint="eastAsia"/>
          <w:lang w:val="en-US" w:eastAsia="zh-CN"/>
        </w:rPr>
        <w:t>48</w:t>
      </w:r>
      <w:r>
        <w:rPr>
          <w:rFonts w:hint="eastAsia" w:ascii="宋体"/>
          <w:lang w:val="en-US"/>
        </w:rPr>
        <w:t>小时内派人员到达现场进行免费指导解决问题。</w:t>
      </w:r>
    </w:p>
    <w:p w14:paraId="0DBD6AEA">
      <w:pPr>
        <w:spacing w:line="360" w:lineRule="auto"/>
        <w:ind w:firstLine="480" w:firstLineChars="200"/>
        <w:outlineLvl w:val="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.甲方不再对任何售后服务进行付费，乙方的派遣人员产生的一切费用由</w:t>
      </w:r>
      <w:r>
        <w:rPr>
          <w:rFonts w:hint="eastAsia" w:ascii="宋体" w:hAnsi="宋体" w:cs="宋体"/>
          <w:sz w:val="24"/>
          <w:lang w:val="en-US" w:eastAsia="zh-CN"/>
        </w:rPr>
        <w:t>乙方</w:t>
      </w:r>
      <w:r>
        <w:rPr>
          <w:rFonts w:hint="eastAsia" w:ascii="宋体" w:hAnsi="宋体" w:cs="宋体"/>
          <w:sz w:val="24"/>
        </w:rPr>
        <w:t>承担。</w:t>
      </w:r>
    </w:p>
    <w:p w14:paraId="23943A9C">
      <w:pPr>
        <w:spacing w:line="360" w:lineRule="auto"/>
        <w:ind w:firstLine="482" w:firstLineChars="200"/>
        <w:outlineLvl w:val="0"/>
        <w:rPr>
          <w:rFonts w:ascii="宋体" w:hAnsi="宋体" w:cs="宋体"/>
          <w:b/>
          <w:sz w:val="24"/>
        </w:rPr>
      </w:pPr>
      <w:bookmarkStart w:id="392" w:name="_Toc6596"/>
      <w:bookmarkStart w:id="393" w:name="_Toc14563"/>
      <w:bookmarkStart w:id="394" w:name="_Toc1125"/>
      <w:r>
        <w:rPr>
          <w:rFonts w:hint="eastAsia" w:ascii="宋体" w:hAnsi="宋体" w:cs="宋体"/>
          <w:b/>
          <w:sz w:val="24"/>
        </w:rPr>
        <w:t>五、检验和验收</w:t>
      </w:r>
      <w:bookmarkEnd w:id="392"/>
      <w:bookmarkEnd w:id="393"/>
      <w:bookmarkEnd w:id="394"/>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17342EB2">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0CC76998">
      <w:pPr>
        <w:tabs>
          <w:tab w:val="left" w:pos="360"/>
          <w:tab w:val="left" w:pos="540"/>
          <w:tab w:val="left" w:pos="1080"/>
        </w:tabs>
        <w:spacing w:line="360" w:lineRule="auto"/>
        <w:ind w:firstLine="480" w:firstLineChars="200"/>
        <w:rPr>
          <w:rFonts w:hint="eastAsia" w:ascii="宋体" w:hAnsi="宋体" w:cs="宋体"/>
          <w:sz w:val="24"/>
          <w:u w:val="single"/>
        </w:rPr>
      </w:pPr>
      <w:r>
        <w:rPr>
          <w:rFonts w:ascii="宋体" w:hAnsi="宋体" w:cs="宋体"/>
          <w:sz w:val="24"/>
        </w:rPr>
        <w:t>1.</w:t>
      </w:r>
      <w:r>
        <w:rPr>
          <w:rFonts w:hint="eastAsia" w:ascii="宋体" w:hAnsi="宋体"/>
          <w:b/>
          <w:iCs/>
          <w:color w:val="auto"/>
          <w:sz w:val="24"/>
          <w:u w:val="single"/>
          <w:lang w:val="en-US" w:eastAsia="zh-CN"/>
        </w:rPr>
        <w:t>提供测绘图纸A3及CAD电子版图</w:t>
      </w:r>
      <w:r>
        <w:rPr>
          <w:rFonts w:hint="eastAsia" w:ascii="宋体" w:hAnsi="宋体" w:cs="宋体"/>
          <w:sz w:val="24"/>
          <w:u w:val="single"/>
        </w:rPr>
        <w:t>。</w:t>
      </w:r>
    </w:p>
    <w:p w14:paraId="3F5C3D2D">
      <w:pPr>
        <w:pStyle w:val="24"/>
        <w:spacing w:before="0" w:beforeAutospacing="0" w:after="0" w:afterAutospacing="0" w:line="360" w:lineRule="auto"/>
        <w:ind w:firstLine="480"/>
        <w:rPr>
          <w:b/>
        </w:rPr>
      </w:pPr>
      <w:r>
        <w:rPr>
          <w:rFonts w:hint="eastAsia"/>
          <w:b/>
        </w:rPr>
        <w:t>七、履约保证金</w:t>
      </w:r>
    </w:p>
    <w:p w14:paraId="078341DC">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w:t>
      </w:r>
      <w:r>
        <w:rPr>
          <w:rFonts w:hint="eastAsia" w:ascii="宋体" w:hAnsi="宋体"/>
          <w:sz w:val="24"/>
          <w:highlight w:val="none"/>
          <w:lang w:val="en-US" w:eastAsia="zh-CN"/>
        </w:rPr>
        <w:t>方在</w:t>
      </w:r>
      <w:r>
        <w:rPr>
          <w:rFonts w:hint="eastAsia" w:ascii="宋体" w:hAnsi="宋体"/>
          <w:color w:val="auto"/>
          <w:sz w:val="24"/>
          <w:highlight w:val="none"/>
          <w:u w:val="single"/>
          <w:lang w:val="en-US" w:eastAsia="zh-CN"/>
        </w:rPr>
        <w:t>合同</w:t>
      </w:r>
      <w:r>
        <w:rPr>
          <w:rFonts w:hint="eastAsia" w:ascii="宋体" w:hAnsi="宋体" w:cs="宋体"/>
          <w:color w:val="auto"/>
          <w:kern w:val="0"/>
          <w:sz w:val="24"/>
          <w:highlight w:val="none"/>
          <w:u w:val="single"/>
          <w:lang w:val="en-US" w:eastAsia="zh-CN"/>
        </w:rPr>
        <w:t>到期后</w:t>
      </w:r>
      <w:r>
        <w:rPr>
          <w:rFonts w:hint="eastAsia" w:ascii="宋体" w:hAnsi="宋体" w:cs="宋体"/>
          <w:color w:val="auto"/>
          <w:kern w:val="0"/>
          <w:sz w:val="24"/>
          <w:highlight w:val="none"/>
          <w:u w:val="none"/>
          <w:lang w:val="en-US" w:eastAsia="zh-CN"/>
        </w:rPr>
        <w:t>并</w:t>
      </w:r>
      <w:r>
        <w:rPr>
          <w:rFonts w:hint="eastAsia" w:ascii="宋体" w:hAnsi="宋体" w:cs="宋体"/>
          <w:kern w:val="0"/>
          <w:sz w:val="24"/>
          <w:highlight w:val="none"/>
          <w:u w:val="none"/>
          <w:lang w:val="en-US" w:eastAsia="zh-CN"/>
        </w:rPr>
        <w:t>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4"/>
    <w:bookmarkEnd w:id="385"/>
    <w:bookmarkEnd w:id="386"/>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4"/>
        <w:spacing w:before="0" w:beforeAutospacing="0" w:after="0" w:afterAutospacing="0" w:line="360" w:lineRule="auto"/>
        <w:ind w:firstLine="480"/>
        <w:rPr>
          <w:b/>
          <w:bCs/>
        </w:rPr>
      </w:pPr>
      <w:r>
        <w:rPr>
          <w:rFonts w:hint="eastAsia"/>
          <w:b/>
          <w:bCs/>
        </w:rPr>
        <w:t>九、资金支付</w:t>
      </w:r>
    </w:p>
    <w:p w14:paraId="179BB8F5">
      <w:pPr>
        <w:pStyle w:val="24"/>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4"/>
        <w:spacing w:before="0" w:beforeAutospacing="0" w:after="0" w:afterAutospacing="0" w:line="360" w:lineRule="auto"/>
        <w:ind w:firstLine="480"/>
        <w:rPr>
          <w:color w:val="auto"/>
        </w:rPr>
      </w:pPr>
      <w:r>
        <w:rPr>
          <w:rFonts w:hint="eastAsia"/>
        </w:rPr>
        <w:t>2.本合同</w:t>
      </w:r>
      <w:r>
        <w:rPr>
          <w:rFonts w:hint="eastAsia"/>
          <w:lang w:val="en-US" w:eastAsia="zh-CN"/>
        </w:rPr>
        <w:t>质保期限：</w:t>
      </w:r>
      <w:r>
        <w:rPr>
          <w:rFonts w:hint="eastAsia"/>
          <w:u w:val="none"/>
          <w:lang w:val="en-US" w:eastAsia="zh-CN"/>
        </w:rPr>
        <w:t>自验收合格后</w:t>
      </w:r>
      <w:r>
        <w:rPr>
          <w:rFonts w:hint="eastAsia"/>
          <w:u w:val="single"/>
          <w:lang w:val="en-US" w:eastAsia="zh-CN"/>
        </w:rPr>
        <w:t xml:space="preserve"> / </w:t>
      </w:r>
      <w:r>
        <w:rPr>
          <w:rFonts w:hint="eastAsia"/>
          <w:color w:val="auto"/>
          <w:u w:val="none"/>
          <w:lang w:val="en-US" w:eastAsia="zh-CN"/>
        </w:rPr>
        <w:t>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14:paraId="0E40C525">
      <w:pPr>
        <w:pStyle w:val="24"/>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w:t>
      </w:r>
      <w:r>
        <w:rPr>
          <w:rFonts w:hint="eastAsia"/>
          <w:color w:val="auto"/>
          <w:highlight w:val="none"/>
        </w:rPr>
        <w:t>合同金额的</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1F5640EB">
      <w:pPr>
        <w:pStyle w:val="24"/>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4"/>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u w:val="single"/>
          <w:lang w:val="en-US" w:eastAsia="zh-CN"/>
        </w:rPr>
        <w:t xml:space="preserve">（1） </w:t>
      </w:r>
      <w:r>
        <w:rPr>
          <w:rFonts w:hint="eastAsia"/>
          <w:u w:val="single"/>
        </w:rPr>
        <w:t xml:space="preserve"> </w:t>
      </w:r>
      <w:r>
        <w:rPr>
          <w:rFonts w:hint="eastAsia"/>
        </w:rPr>
        <w:t>条款规定：</w:t>
      </w:r>
    </w:p>
    <w:p w14:paraId="41369EC3">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（1） 按月支付，甲方每月对乙方上月服务质量进行考核，经考核合格的，甲方收到乙方提供的增值税专用发票后，甲方在本合同约定时间内完成支付；经考核不合格的，按本合同约定的考核标准扣除相应费用；考核要求、标准按验收特别约定条款、甲方制度规定（以要求较高者为准）执行，如前述条款/规定无考核要求、标准的，乙方于次月15日前向甲方提供增值税专用发票，甲方收到乙方提供的增值税专用发票后，甲方在本合同约定时间内完成支付；</w:t>
      </w:r>
    </w:p>
    <w:bookmarkEnd w:id="387"/>
    <w:bookmarkEnd w:id="388"/>
    <w:bookmarkEnd w:id="389"/>
    <w:bookmarkEnd w:id="390"/>
    <w:bookmarkEnd w:id="391"/>
    <w:p w14:paraId="749A61D8">
      <w:pPr>
        <w:spacing w:line="360" w:lineRule="auto"/>
        <w:ind w:firstLine="482" w:firstLineChars="200"/>
        <w:rPr>
          <w:rFonts w:hint="eastAsia" w:ascii="宋体" w:hAnsi="宋体"/>
          <w:sz w:val="24"/>
          <w:lang w:val="en-US" w:eastAsia="zh-CN"/>
        </w:rPr>
      </w:pPr>
      <w:r>
        <w:rPr>
          <w:rFonts w:hint="eastAsia" w:ascii="宋体" w:hAnsi="宋体"/>
          <w:b/>
          <w:sz w:val="24"/>
        </w:rPr>
        <w:t>十、</w:t>
      </w:r>
      <w:bookmarkStart w:id="395" w:name="_Toc3079"/>
      <w:bookmarkStart w:id="396" w:name="_Toc2375"/>
      <w:bookmarkStart w:id="397" w:name="_Toc8586"/>
      <w:bookmarkStart w:id="398" w:name="_Toc24662"/>
      <w:bookmarkStart w:id="399" w:name="_Toc5698"/>
      <w:r>
        <w:rPr>
          <w:rFonts w:hint="eastAsia" w:ascii="宋体" w:hAnsi="宋体"/>
          <w:b/>
          <w:sz w:val="24"/>
        </w:rPr>
        <w:t>违约责任</w:t>
      </w:r>
      <w:bookmarkEnd w:id="395"/>
      <w:bookmarkEnd w:id="396"/>
      <w:bookmarkEnd w:id="397"/>
      <w:bookmarkEnd w:id="398"/>
      <w:bookmarkEnd w:id="399"/>
    </w:p>
    <w:p w14:paraId="01C1A7E3">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60DA303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431127D9">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3464E167">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2F345D2D">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2DEACF0C">
      <w:pPr>
        <w:spacing w:line="360" w:lineRule="auto"/>
        <w:ind w:firstLine="480" w:firstLineChars="200"/>
        <w:rPr>
          <w:rFonts w:ascii="宋体" w:hAnsi="宋体" w:cs="宋体"/>
          <w:sz w:val="24"/>
        </w:rPr>
      </w:pPr>
      <w:bookmarkStart w:id="400" w:name="_Toc32454"/>
      <w:bookmarkStart w:id="401" w:name="_Toc30329"/>
      <w:bookmarkStart w:id="402" w:name="_Toc26807"/>
      <w:bookmarkStart w:id="403" w:name="_Toc18683"/>
      <w:bookmarkStart w:id="404" w:name="_Toc9497"/>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9A9D32">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624CB0">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CFBC3A1">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6178DE88">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715C61DE">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400"/>
    <w:bookmarkEnd w:id="401"/>
    <w:bookmarkEnd w:id="402"/>
    <w:bookmarkEnd w:id="403"/>
    <w:bookmarkEnd w:id="404"/>
    <w:p w14:paraId="36763FA3">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6D544357">
      <w:pPr>
        <w:pStyle w:val="7"/>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3"/>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D1EDD33">
      <w:pPr>
        <w:pStyle w:val="23"/>
        <w:ind w:left="0" w:leftChars="0" w:firstLine="0" w:firstLineChars="0"/>
        <w:jc w:val="center"/>
        <w:rPr>
          <w:rFonts w:hint="eastAsia" w:ascii="宋体" w:hAnsi="宋体"/>
          <w:b/>
          <w:szCs w:val="24"/>
        </w:rPr>
      </w:pPr>
    </w:p>
    <w:p w14:paraId="42451AEE">
      <w:pPr>
        <w:pStyle w:val="23"/>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405" w:name="_Toc5228"/>
      <w:bookmarkStart w:id="406" w:name="_Toc14021"/>
      <w:bookmarkStart w:id="407" w:name="_Toc25079"/>
      <w:bookmarkStart w:id="408" w:name="_Toc31297"/>
      <w:bookmarkStart w:id="409" w:name="_Toc19680"/>
      <w:r>
        <w:rPr>
          <w:rFonts w:hint="eastAsia" w:ascii="宋体" w:hAnsi="宋体"/>
          <w:b/>
          <w:sz w:val="24"/>
        </w:rPr>
        <w:t>一、</w:t>
      </w:r>
      <w:r>
        <w:rPr>
          <w:rFonts w:ascii="宋体" w:hAnsi="宋体"/>
          <w:b/>
          <w:sz w:val="24"/>
        </w:rPr>
        <w:t>定义</w:t>
      </w:r>
      <w:bookmarkEnd w:id="405"/>
      <w:bookmarkEnd w:id="406"/>
      <w:bookmarkEnd w:id="407"/>
      <w:bookmarkEnd w:id="408"/>
      <w:bookmarkEnd w:id="409"/>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10" w:name="_Toc3769"/>
      <w:bookmarkStart w:id="411" w:name="_Toc19539"/>
      <w:bookmarkStart w:id="412" w:name="_Toc23289"/>
      <w:bookmarkStart w:id="413" w:name="_Toc16752"/>
      <w:bookmarkStart w:id="414" w:name="_Toc31402"/>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10"/>
      <w:bookmarkEnd w:id="411"/>
      <w:bookmarkEnd w:id="412"/>
      <w:bookmarkEnd w:id="413"/>
      <w:bookmarkEnd w:id="414"/>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15" w:name="_Toc13673"/>
      <w:bookmarkStart w:id="416" w:name="_Toc4133"/>
      <w:bookmarkStart w:id="417" w:name="_Toc12412"/>
      <w:bookmarkStart w:id="418" w:name="_Toc9161"/>
      <w:bookmarkStart w:id="419" w:name="_Toc27945"/>
      <w:r>
        <w:rPr>
          <w:rFonts w:hint="eastAsia" w:ascii="宋体" w:hAnsi="宋体"/>
          <w:b/>
          <w:sz w:val="24"/>
        </w:rPr>
        <w:t>三、</w:t>
      </w:r>
      <w:r>
        <w:rPr>
          <w:rFonts w:ascii="宋体" w:hAnsi="宋体"/>
          <w:b/>
          <w:sz w:val="24"/>
        </w:rPr>
        <w:t xml:space="preserve"> 知识产权</w:t>
      </w:r>
      <w:bookmarkEnd w:id="415"/>
      <w:bookmarkEnd w:id="416"/>
      <w:bookmarkEnd w:id="417"/>
      <w:bookmarkEnd w:id="418"/>
      <w:bookmarkEnd w:id="419"/>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20" w:name="_Toc15447"/>
      <w:bookmarkStart w:id="421" w:name="_Toc22011"/>
      <w:bookmarkStart w:id="422" w:name="_Toc31233"/>
      <w:bookmarkStart w:id="423" w:name="_Toc26555"/>
      <w:bookmarkStart w:id="424" w:name="_Toc32670"/>
      <w:r>
        <w:rPr>
          <w:rFonts w:hint="eastAsia" w:ascii="宋体" w:hAnsi="宋体"/>
          <w:b/>
          <w:sz w:val="24"/>
        </w:rPr>
        <w:t>五、</w:t>
      </w:r>
      <w:r>
        <w:rPr>
          <w:rFonts w:ascii="宋体" w:hAnsi="宋体"/>
          <w:b/>
          <w:sz w:val="24"/>
        </w:rPr>
        <w:t>结算方式和付款条件</w:t>
      </w:r>
      <w:bookmarkEnd w:id="420"/>
      <w:bookmarkEnd w:id="421"/>
      <w:bookmarkEnd w:id="422"/>
      <w:bookmarkEnd w:id="423"/>
      <w:bookmarkEnd w:id="424"/>
    </w:p>
    <w:p w14:paraId="58708174">
      <w:pPr>
        <w:spacing w:line="360" w:lineRule="auto"/>
        <w:ind w:firstLine="480" w:firstLineChars="200"/>
        <w:outlineLvl w:val="0"/>
        <w:rPr>
          <w:rFonts w:hint="eastAsia" w:ascii="宋体" w:hAnsi="宋体"/>
          <w:bCs/>
          <w:sz w:val="24"/>
        </w:rPr>
      </w:pPr>
      <w:bookmarkStart w:id="425" w:name="_Toc18990"/>
      <w:bookmarkStart w:id="426" w:name="_Toc30507"/>
      <w:bookmarkStart w:id="427" w:name="_Toc13467"/>
      <w:bookmarkStart w:id="428" w:name="_Toc16163"/>
      <w:bookmarkStart w:id="429" w:name="_Toc13154"/>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25"/>
      <w:bookmarkEnd w:id="426"/>
      <w:bookmarkEnd w:id="427"/>
      <w:bookmarkEnd w:id="428"/>
      <w:bookmarkEnd w:id="429"/>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30" w:name="_Toc19069"/>
      <w:r>
        <w:rPr>
          <w:rFonts w:hint="eastAsia" w:ascii="宋体" w:hAnsi="宋体"/>
          <w:b/>
          <w:sz w:val="24"/>
        </w:rPr>
        <w:t>七、质量保证</w:t>
      </w:r>
      <w:bookmarkEnd w:id="430"/>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31"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31"/>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32" w:name="_Toc10611"/>
      <w:r>
        <w:rPr>
          <w:rFonts w:hint="eastAsia" w:ascii="宋体" w:hAnsi="宋体"/>
          <w:b/>
          <w:sz w:val="24"/>
        </w:rPr>
        <w:t>九、合同变更</w:t>
      </w:r>
      <w:bookmarkEnd w:id="432"/>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33" w:name="_Toc23368"/>
      <w:bookmarkStart w:id="434" w:name="_Toc10663"/>
      <w:bookmarkStart w:id="435" w:name="_Toc26689"/>
      <w:bookmarkStart w:id="436" w:name="_Toc42"/>
      <w:bookmarkStart w:id="437" w:name="_Toc21830"/>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33"/>
      <w:bookmarkEnd w:id="434"/>
      <w:bookmarkEnd w:id="435"/>
      <w:bookmarkEnd w:id="436"/>
      <w:bookmarkEnd w:id="437"/>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38" w:name="_Toc25571"/>
      <w:bookmarkStart w:id="439" w:name="_Toc26633"/>
      <w:bookmarkStart w:id="440" w:name="_Toc4720"/>
      <w:bookmarkStart w:id="441" w:name="_Toc14371"/>
      <w:bookmarkStart w:id="442" w:name="_Toc32494"/>
      <w:r>
        <w:rPr>
          <w:rFonts w:hint="eastAsia" w:ascii="宋体" w:hAnsi="宋体"/>
          <w:b/>
          <w:sz w:val="24"/>
        </w:rPr>
        <w:t>十一、</w:t>
      </w:r>
      <w:r>
        <w:rPr>
          <w:rFonts w:ascii="宋体" w:hAnsi="宋体"/>
          <w:b/>
          <w:sz w:val="24"/>
        </w:rPr>
        <w:t>不可抗力</w:t>
      </w:r>
      <w:bookmarkEnd w:id="438"/>
      <w:bookmarkEnd w:id="439"/>
      <w:bookmarkEnd w:id="440"/>
      <w:bookmarkEnd w:id="441"/>
      <w:bookmarkEnd w:id="442"/>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43" w:name="_Toc14115"/>
      <w:bookmarkStart w:id="444" w:name="_Toc25783"/>
      <w:bookmarkStart w:id="445" w:name="_Toc3638"/>
      <w:bookmarkStart w:id="446" w:name="_Toc24465"/>
      <w:bookmarkStart w:id="447" w:name="_Toc23854"/>
      <w:r>
        <w:rPr>
          <w:rFonts w:hint="eastAsia" w:ascii="宋体" w:hAnsi="宋体"/>
          <w:b/>
          <w:sz w:val="24"/>
        </w:rPr>
        <w:t>十二、</w:t>
      </w:r>
      <w:r>
        <w:rPr>
          <w:rFonts w:ascii="宋体" w:hAnsi="宋体"/>
          <w:b/>
          <w:sz w:val="24"/>
        </w:rPr>
        <w:t>税费</w:t>
      </w:r>
      <w:bookmarkEnd w:id="443"/>
      <w:bookmarkEnd w:id="444"/>
      <w:bookmarkEnd w:id="445"/>
      <w:bookmarkEnd w:id="446"/>
      <w:bookmarkEnd w:id="447"/>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48" w:name="_Toc14814"/>
      <w:bookmarkStart w:id="449" w:name="_Toc7315"/>
      <w:bookmarkStart w:id="450" w:name="_Toc26883"/>
      <w:bookmarkStart w:id="451" w:name="_Toc30105"/>
      <w:bookmarkStart w:id="452" w:name="_Toc25525"/>
      <w:r>
        <w:rPr>
          <w:rFonts w:hint="eastAsia" w:ascii="宋体" w:hAnsi="宋体"/>
          <w:b/>
          <w:sz w:val="24"/>
        </w:rPr>
        <w:t>十三、</w:t>
      </w:r>
      <w:r>
        <w:rPr>
          <w:rFonts w:ascii="宋体" w:hAnsi="宋体"/>
          <w:b/>
          <w:sz w:val="24"/>
        </w:rPr>
        <w:t>乙方破产</w:t>
      </w:r>
      <w:bookmarkEnd w:id="448"/>
      <w:bookmarkEnd w:id="449"/>
      <w:bookmarkEnd w:id="450"/>
      <w:bookmarkEnd w:id="451"/>
      <w:bookmarkEnd w:id="452"/>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53" w:name="_Toc23323"/>
      <w:bookmarkStart w:id="454" w:name="_Toc2016"/>
      <w:bookmarkStart w:id="455" w:name="_Toc1123"/>
      <w:r>
        <w:rPr>
          <w:rFonts w:hint="eastAsia" w:ascii="宋体" w:hAnsi="宋体"/>
          <w:b/>
          <w:sz w:val="24"/>
        </w:rPr>
        <w:t>十四、</w:t>
      </w:r>
      <w:r>
        <w:rPr>
          <w:rFonts w:ascii="宋体" w:hAnsi="宋体"/>
          <w:b/>
          <w:sz w:val="24"/>
        </w:rPr>
        <w:t>合同中止、终止</w:t>
      </w:r>
      <w:bookmarkEnd w:id="453"/>
      <w:bookmarkEnd w:id="454"/>
      <w:bookmarkEnd w:id="455"/>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56" w:name="_Toc1969"/>
      <w:bookmarkStart w:id="457" w:name="_Toc14525"/>
      <w:bookmarkStart w:id="458" w:name="_Toc17363"/>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56"/>
      <w:bookmarkEnd w:id="457"/>
      <w:bookmarkEnd w:id="458"/>
      <w:bookmarkStart w:id="459" w:name="_Toc31892"/>
      <w:bookmarkStart w:id="460" w:name="_Toc2308"/>
      <w:bookmarkStart w:id="461" w:name="_Toc12666"/>
      <w:bookmarkStart w:id="462" w:name="_Toc25198"/>
      <w:bookmarkStart w:id="463" w:name="_Toc9808"/>
      <w:r>
        <w:rPr>
          <w:rFonts w:hint="eastAsia" w:ascii="宋体" w:hAnsi="宋体"/>
          <w:b/>
          <w:sz w:val="24"/>
        </w:rPr>
        <w:t>、</w:t>
      </w:r>
      <w:r>
        <w:rPr>
          <w:rFonts w:ascii="宋体" w:hAnsi="宋体"/>
          <w:b/>
          <w:sz w:val="24"/>
        </w:rPr>
        <w:t>通知和送达</w:t>
      </w:r>
      <w:bookmarkEnd w:id="459"/>
      <w:bookmarkEnd w:id="460"/>
      <w:bookmarkEnd w:id="461"/>
      <w:bookmarkEnd w:id="462"/>
      <w:bookmarkEnd w:id="463"/>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64" w:name="_Toc28906"/>
      <w:bookmarkStart w:id="465" w:name="_Toc5063"/>
      <w:bookmarkStart w:id="466" w:name="_Toc27644"/>
      <w:bookmarkStart w:id="467" w:name="_Toc20808"/>
      <w:bookmarkStart w:id="468" w:name="_Toc12254"/>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64"/>
      <w:bookmarkEnd w:id="465"/>
      <w:bookmarkEnd w:id="466"/>
      <w:bookmarkEnd w:id="467"/>
      <w:bookmarkEnd w:id="468"/>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605DBF6C"/>
    <w:p w14:paraId="0CBC1857">
      <w:pPr>
        <w:pStyle w:val="23"/>
        <w:spacing w:line="560" w:lineRule="exact"/>
        <w:ind w:left="0" w:leftChars="0" w:firstLine="0" w:firstLineChars="0"/>
        <w:jc w:val="center"/>
        <w:rPr>
          <w:rFonts w:hint="eastAsia" w:ascii="宋体" w:hAnsi="宋体"/>
          <w:b/>
          <w:szCs w:val="24"/>
        </w:rPr>
      </w:pP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Times New Roman"/>
                <w:color w:val="auto"/>
                <w:sz w:val="24"/>
                <w:lang w:val="zh-CN"/>
              </w:rPr>
              <w:t>：</w:t>
            </w:r>
            <w:r>
              <w:rPr>
                <w:rFonts w:hint="eastAsia" w:ascii="宋体" w:hAnsi="宋体" w:eastAsia="宋体" w:cs="仿宋"/>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506D96BF">
      <w:pPr>
        <w:pStyle w:val="23"/>
        <w:spacing w:line="560" w:lineRule="exact"/>
        <w:ind w:left="0" w:leftChars="0" w:firstLine="0" w:firstLineChars="0"/>
        <w:jc w:val="center"/>
        <w:rPr>
          <w:rFonts w:hint="eastAsia" w:ascii="宋体" w:hAnsi="宋体"/>
          <w:b/>
          <w:szCs w:val="24"/>
        </w:rPr>
      </w:pPr>
    </w:p>
    <w:p w14:paraId="14B6370F">
      <w:pPr>
        <w:rPr>
          <w:rFonts w:hint="eastAsia"/>
        </w:rPr>
      </w:pPr>
    </w:p>
    <w:p w14:paraId="5030E26C">
      <w:pPr>
        <w:rPr>
          <w:rFonts w:hint="eastAsia"/>
        </w:rPr>
      </w:pPr>
    </w:p>
    <w:p w14:paraId="486FBA17">
      <w:pPr>
        <w:rPr>
          <w:rFonts w:hint="eastAsia"/>
        </w:rPr>
      </w:pPr>
    </w:p>
    <w:p w14:paraId="0EB475C7">
      <w:pPr>
        <w:rPr>
          <w:rFonts w:hint="eastAsia"/>
        </w:rPr>
      </w:pPr>
    </w:p>
    <w:p w14:paraId="5044B49A">
      <w:pPr>
        <w:rPr>
          <w:rFonts w:hint="eastAsia"/>
        </w:rPr>
      </w:pPr>
    </w:p>
    <w:p w14:paraId="2B5DE88A">
      <w:pPr>
        <w:rPr>
          <w:rFonts w:hint="eastAsia"/>
        </w:rPr>
      </w:pPr>
    </w:p>
    <w:p w14:paraId="01A7DE89">
      <w:pPr>
        <w:rPr>
          <w:rFonts w:hint="eastAsia"/>
        </w:rPr>
      </w:pPr>
    </w:p>
    <w:p w14:paraId="7CE9725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2025年临江公司非标件测绘服务采购项目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2025年临江公司非标件测绘服务采购项目</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9"/>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8"/>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7"/>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4"/>
      </w:pPr>
    </w:p>
    <w:p w14:paraId="5F4E7760">
      <w:pPr>
        <w:pStyle w:val="7"/>
        <w:rPr>
          <w:color w:val="auto"/>
        </w:rPr>
      </w:pPr>
    </w:p>
    <w:p w14:paraId="3B048014">
      <w:pPr>
        <w:pStyle w:val="8"/>
        <w:rPr>
          <w:color w:val="auto"/>
        </w:rPr>
      </w:pPr>
    </w:p>
    <w:p w14:paraId="5C02A5ED">
      <w:pPr>
        <w:rPr>
          <w:color w:val="auto"/>
        </w:rPr>
      </w:pPr>
    </w:p>
    <w:p w14:paraId="557F8F3F">
      <w:pPr>
        <w:pStyle w:val="14"/>
        <w:rPr>
          <w:color w:val="auto"/>
        </w:rPr>
      </w:pPr>
    </w:p>
    <w:p w14:paraId="417C2072">
      <w:pPr>
        <w:rPr>
          <w:color w:val="auto"/>
        </w:rPr>
      </w:pPr>
    </w:p>
    <w:p w14:paraId="0AAC24FD">
      <w:pPr>
        <w:pStyle w:val="14"/>
        <w:rPr>
          <w:color w:val="auto"/>
        </w:rPr>
      </w:pPr>
    </w:p>
    <w:p w14:paraId="399D0E1E">
      <w:pPr>
        <w:rPr>
          <w:color w:val="auto"/>
        </w:rPr>
      </w:pPr>
    </w:p>
    <w:p w14:paraId="7E81C0E8">
      <w:pPr>
        <w:pStyle w:val="14"/>
        <w:rPr>
          <w:color w:val="auto"/>
        </w:rPr>
      </w:pPr>
    </w:p>
    <w:p w14:paraId="693BCFE6">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4"/>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2025年临江公司非标件测绘服务采购项目</w:t>
      </w:r>
      <w:r>
        <w:rPr>
          <w:rFonts w:hint="eastAsia" w:ascii="宋体" w:hAnsi="宋体" w:eastAsia="宋体" w:cs="宋体"/>
          <w:sz w:val="28"/>
          <w:szCs w:val="22"/>
          <w:u w:val="single"/>
        </w:rPr>
        <w:t xml:space="preserve">             </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202507056</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6993CB6">
      <w:pPr>
        <w:spacing w:line="360" w:lineRule="auto"/>
        <w:jc w:val="both"/>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6"/>
        <w:rPr>
          <w:color w:val="auto"/>
        </w:rPr>
      </w:pPr>
    </w:p>
    <w:p w14:paraId="05748400">
      <w:pPr>
        <w:pStyle w:val="7"/>
        <w:rPr>
          <w:color w:val="auto"/>
        </w:rPr>
      </w:pPr>
    </w:p>
    <w:p w14:paraId="5BD807E8">
      <w:pPr>
        <w:rPr>
          <w:color w:val="auto"/>
        </w:rPr>
      </w:pPr>
    </w:p>
    <w:p w14:paraId="631F1A0B">
      <w:pPr>
        <w:pStyle w:val="6"/>
      </w:pPr>
    </w:p>
    <w:p w14:paraId="568FE681">
      <w:pPr>
        <w:pStyle w:val="6"/>
        <w:rPr>
          <w:color w:val="auto"/>
        </w:rPr>
      </w:pPr>
    </w:p>
    <w:p w14:paraId="37160157">
      <w:pPr>
        <w:pStyle w:val="7"/>
        <w:rPr>
          <w:color w:val="auto"/>
        </w:rPr>
      </w:pPr>
    </w:p>
    <w:p w14:paraId="18510655">
      <w:pPr>
        <w:rPr>
          <w:color w:val="auto"/>
        </w:rPr>
      </w:pPr>
    </w:p>
    <w:p w14:paraId="03CD803D">
      <w:pPr>
        <w:pStyle w:val="6"/>
        <w:rPr>
          <w:color w:val="auto"/>
        </w:rPr>
      </w:pPr>
    </w:p>
    <w:p w14:paraId="7C6A2F1D">
      <w:pPr>
        <w:pStyle w:val="7"/>
        <w:rPr>
          <w:color w:val="auto"/>
        </w:rPr>
      </w:pPr>
    </w:p>
    <w:p w14:paraId="2A1EAFA4">
      <w:pPr>
        <w:rPr>
          <w:color w:val="auto"/>
        </w:rPr>
      </w:pPr>
    </w:p>
    <w:p w14:paraId="2300D32D">
      <w:pPr>
        <w:pStyle w:val="6"/>
        <w:rPr>
          <w:color w:val="auto"/>
        </w:rPr>
      </w:pPr>
    </w:p>
    <w:p w14:paraId="4CBC95AE">
      <w:pPr>
        <w:pStyle w:val="7"/>
        <w:rPr>
          <w:color w:val="auto"/>
        </w:rPr>
      </w:pPr>
    </w:p>
    <w:p w14:paraId="798392CC">
      <w:pPr>
        <w:rPr>
          <w:color w:val="auto"/>
        </w:rPr>
      </w:pPr>
    </w:p>
    <w:p w14:paraId="673A965D">
      <w:pPr>
        <w:pStyle w:val="6"/>
        <w:rPr>
          <w:color w:val="auto"/>
        </w:rPr>
      </w:pPr>
    </w:p>
    <w:p w14:paraId="7AF1798F">
      <w:pPr>
        <w:pStyle w:val="7"/>
        <w:rPr>
          <w:color w:val="auto"/>
        </w:rPr>
      </w:pPr>
    </w:p>
    <w:p w14:paraId="42CD4FD3">
      <w:pPr>
        <w:pStyle w:val="8"/>
        <w:rPr>
          <w:color w:val="auto"/>
        </w:rPr>
      </w:pPr>
    </w:p>
    <w:p w14:paraId="1E6E4C39">
      <w:pPr>
        <w:rPr>
          <w:color w:val="auto"/>
        </w:rPr>
      </w:pPr>
    </w:p>
    <w:p w14:paraId="1AAA3B54">
      <w:pPr>
        <w:pStyle w:val="14"/>
      </w:pPr>
    </w:p>
    <w:p w14:paraId="0EC82F94">
      <w:pPr>
        <w:rPr>
          <w:color w:val="auto"/>
        </w:rPr>
      </w:pPr>
    </w:p>
    <w:p w14:paraId="5BDEE8B8">
      <w:pPr>
        <w:pStyle w:val="6"/>
        <w:rPr>
          <w:color w:val="auto"/>
        </w:rPr>
      </w:pPr>
    </w:p>
    <w:p w14:paraId="417E745E">
      <w:pPr>
        <w:rPr>
          <w:color w:val="auto"/>
        </w:rPr>
      </w:pPr>
    </w:p>
    <w:p w14:paraId="6768DA7D">
      <w:pPr>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2025年临江公司非标件测绘服务采购项目</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202507056</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7"/>
        <w:rPr>
          <w:color w:val="auto"/>
        </w:rPr>
      </w:pPr>
    </w:p>
    <w:p w14:paraId="437E8B68">
      <w:pPr>
        <w:rPr>
          <w:color w:val="auto"/>
        </w:rPr>
      </w:pPr>
    </w:p>
    <w:p w14:paraId="33A065AF">
      <w:pPr>
        <w:pStyle w:val="6"/>
        <w:rPr>
          <w:color w:val="auto"/>
        </w:rPr>
      </w:pPr>
    </w:p>
    <w:p w14:paraId="390524D3">
      <w:pPr>
        <w:pStyle w:val="7"/>
      </w:pPr>
    </w:p>
    <w:p w14:paraId="35CD09A5">
      <w:pPr>
        <w:pStyle w:val="7"/>
        <w:rPr>
          <w:color w:val="auto"/>
        </w:rPr>
      </w:pPr>
    </w:p>
    <w:p w14:paraId="11A2CB2E">
      <w:pPr>
        <w:rPr>
          <w:color w:val="auto"/>
        </w:rPr>
      </w:pPr>
    </w:p>
    <w:p w14:paraId="7E67FC26">
      <w:pPr>
        <w:pStyle w:val="6"/>
        <w:rPr>
          <w:color w:val="auto"/>
        </w:rPr>
      </w:pPr>
    </w:p>
    <w:p w14:paraId="488F3B7B">
      <w:pPr>
        <w:pStyle w:val="7"/>
        <w:rPr>
          <w:color w:val="auto"/>
        </w:rPr>
      </w:pPr>
    </w:p>
    <w:p w14:paraId="66C62AD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p w14:paraId="4AC80819">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04941367">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p w14:paraId="481791EE">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（根据采购公告本项目</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要求提供相应的材料；未要求的，无需提供）</w:t>
      </w:r>
    </w:p>
    <w:p w14:paraId="34853E9C">
      <w:pPr>
        <w:rPr>
          <w:color w:val="auto"/>
        </w:rPr>
      </w:pPr>
    </w:p>
    <w:p w14:paraId="44ED3486">
      <w:pPr>
        <w:pStyle w:val="6"/>
        <w:rPr>
          <w:color w:val="auto"/>
        </w:rPr>
      </w:pPr>
    </w:p>
    <w:p w14:paraId="7051BD90">
      <w:pPr>
        <w:pStyle w:val="7"/>
        <w:rPr>
          <w:color w:val="auto"/>
        </w:rPr>
      </w:pPr>
    </w:p>
    <w:p w14:paraId="15ED29BF">
      <w:pPr>
        <w:rPr>
          <w:color w:val="auto"/>
        </w:rPr>
      </w:pPr>
    </w:p>
    <w:p w14:paraId="73BFB571">
      <w:pPr>
        <w:pStyle w:val="6"/>
        <w:rPr>
          <w:color w:val="auto"/>
        </w:rPr>
      </w:pPr>
    </w:p>
    <w:p w14:paraId="3E85806A">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14:paraId="42857843">
      <w:pPr>
        <w:pStyle w:val="7"/>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14:paraId="5623516F">
      <w:pPr>
        <w:pStyle w:val="7"/>
        <w:rPr>
          <w:color w:val="auto"/>
        </w:rPr>
      </w:pPr>
    </w:p>
    <w:p w14:paraId="50ED184E">
      <w:pPr>
        <w:rPr>
          <w:color w:val="auto"/>
        </w:rPr>
      </w:pPr>
    </w:p>
    <w:p w14:paraId="1A6F3E74">
      <w:pPr>
        <w:pStyle w:val="6"/>
        <w:rPr>
          <w:color w:val="auto"/>
        </w:rPr>
      </w:pPr>
    </w:p>
    <w:p w14:paraId="464D47F2">
      <w:pPr>
        <w:pStyle w:val="7"/>
        <w:rPr>
          <w:color w:val="auto"/>
        </w:rPr>
      </w:pPr>
    </w:p>
    <w:p w14:paraId="6B511750">
      <w:pPr>
        <w:rPr>
          <w:color w:val="auto"/>
        </w:rPr>
      </w:pPr>
    </w:p>
    <w:p w14:paraId="05A7B796">
      <w:pPr>
        <w:pStyle w:val="6"/>
        <w:rPr>
          <w:color w:val="auto"/>
        </w:rPr>
      </w:pPr>
    </w:p>
    <w:p w14:paraId="4D799C87">
      <w:pPr>
        <w:pStyle w:val="7"/>
        <w:rPr>
          <w:color w:val="auto"/>
        </w:rPr>
      </w:pPr>
    </w:p>
    <w:p w14:paraId="13457C2E">
      <w:pPr>
        <w:rPr>
          <w:color w:val="auto"/>
        </w:rPr>
      </w:pPr>
    </w:p>
    <w:p w14:paraId="3140BC0F">
      <w:pPr>
        <w:pStyle w:val="6"/>
        <w:rPr>
          <w:color w:val="auto"/>
        </w:rPr>
      </w:pPr>
    </w:p>
    <w:p w14:paraId="4ADA0366">
      <w:pPr>
        <w:pStyle w:val="7"/>
        <w:rPr>
          <w:color w:val="auto"/>
        </w:rPr>
      </w:pPr>
    </w:p>
    <w:p w14:paraId="4147016F">
      <w:pPr>
        <w:rPr>
          <w:color w:val="auto"/>
        </w:rPr>
      </w:pPr>
    </w:p>
    <w:p w14:paraId="4B08B63D">
      <w:pPr>
        <w:pStyle w:val="6"/>
        <w:rPr>
          <w:color w:val="auto"/>
        </w:rPr>
      </w:pPr>
    </w:p>
    <w:p w14:paraId="162E241D">
      <w:pPr>
        <w:pStyle w:val="7"/>
        <w:rPr>
          <w:color w:val="auto"/>
        </w:rPr>
      </w:pPr>
    </w:p>
    <w:p w14:paraId="210946A5">
      <w:pPr>
        <w:rPr>
          <w:color w:val="auto"/>
        </w:rPr>
      </w:pPr>
    </w:p>
    <w:p w14:paraId="7A188721">
      <w:pPr>
        <w:pStyle w:val="6"/>
        <w:rPr>
          <w:color w:val="auto"/>
        </w:rPr>
      </w:pPr>
    </w:p>
    <w:p w14:paraId="2E857C92">
      <w:pPr>
        <w:pStyle w:val="7"/>
        <w:rPr>
          <w:color w:val="auto"/>
        </w:rPr>
      </w:pPr>
    </w:p>
    <w:p w14:paraId="3352A739">
      <w:pPr>
        <w:rPr>
          <w:color w:val="auto"/>
        </w:rPr>
      </w:pPr>
    </w:p>
    <w:p w14:paraId="56EA1A6F">
      <w:pPr>
        <w:pStyle w:val="6"/>
        <w:rPr>
          <w:color w:val="auto"/>
        </w:rPr>
      </w:pPr>
    </w:p>
    <w:p w14:paraId="49C902B7">
      <w:pPr>
        <w:pStyle w:val="7"/>
        <w:rPr>
          <w:color w:val="auto"/>
        </w:rPr>
      </w:pPr>
    </w:p>
    <w:p w14:paraId="1BE2D6FF">
      <w:pPr>
        <w:pStyle w:val="6"/>
        <w:rPr>
          <w:color w:val="auto"/>
        </w:rPr>
      </w:pPr>
    </w:p>
    <w:p w14:paraId="151F0F7B">
      <w:pPr>
        <w:pStyle w:val="7"/>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7"/>
        <w:rPr>
          <w:color w:val="auto"/>
        </w:rPr>
      </w:pPr>
    </w:p>
    <w:p w14:paraId="1AF3AAEA">
      <w:pPr>
        <w:rPr>
          <w:color w:val="auto"/>
        </w:rPr>
      </w:pPr>
    </w:p>
    <w:p w14:paraId="3DAA4E90">
      <w:pPr>
        <w:pStyle w:val="6"/>
        <w:rPr>
          <w:color w:val="auto"/>
        </w:rPr>
      </w:pPr>
    </w:p>
    <w:p w14:paraId="150574DA">
      <w:pPr>
        <w:pStyle w:val="7"/>
        <w:rPr>
          <w:color w:val="auto"/>
        </w:rPr>
      </w:pPr>
    </w:p>
    <w:p w14:paraId="0FCCF493">
      <w:pPr>
        <w:rPr>
          <w:color w:val="auto"/>
        </w:rPr>
      </w:pPr>
    </w:p>
    <w:p w14:paraId="51228414">
      <w:pPr>
        <w:pStyle w:val="6"/>
        <w:rPr>
          <w:color w:val="auto"/>
        </w:rPr>
      </w:pPr>
    </w:p>
    <w:p w14:paraId="13BDD14E">
      <w:pPr>
        <w:pStyle w:val="7"/>
        <w:rPr>
          <w:color w:val="auto"/>
        </w:rPr>
      </w:pPr>
    </w:p>
    <w:p w14:paraId="10ADC365">
      <w:pPr>
        <w:rPr>
          <w:color w:val="auto"/>
        </w:rPr>
      </w:pPr>
    </w:p>
    <w:p w14:paraId="52796060">
      <w:pPr>
        <w:pStyle w:val="6"/>
        <w:rPr>
          <w:color w:val="auto"/>
        </w:rPr>
      </w:pPr>
    </w:p>
    <w:p w14:paraId="167C8E6F">
      <w:pPr>
        <w:pStyle w:val="7"/>
        <w:rPr>
          <w:color w:val="auto"/>
        </w:rPr>
      </w:pPr>
    </w:p>
    <w:p w14:paraId="48F033E4">
      <w:pPr>
        <w:rPr>
          <w:color w:val="auto"/>
        </w:rPr>
      </w:pPr>
    </w:p>
    <w:p w14:paraId="0979F993">
      <w:pPr>
        <w:pStyle w:val="6"/>
        <w:rPr>
          <w:color w:val="auto"/>
        </w:rPr>
      </w:pPr>
    </w:p>
    <w:p w14:paraId="22F6FCB8">
      <w:pPr>
        <w:pStyle w:val="7"/>
        <w:rPr>
          <w:color w:val="auto"/>
        </w:rPr>
      </w:pPr>
    </w:p>
    <w:p w14:paraId="6F28F61A">
      <w:pPr>
        <w:pStyle w:val="8"/>
        <w:rPr>
          <w:color w:val="auto"/>
        </w:rPr>
      </w:pPr>
    </w:p>
    <w:p w14:paraId="12E7506A">
      <w:pPr>
        <w:rPr>
          <w:color w:val="auto"/>
        </w:rPr>
      </w:pPr>
    </w:p>
    <w:p w14:paraId="21F41F43">
      <w:pPr>
        <w:rPr>
          <w:color w:val="auto"/>
        </w:rPr>
      </w:pPr>
    </w:p>
    <w:p w14:paraId="2A2C7AEE">
      <w:pPr>
        <w:rPr>
          <w:color w:val="auto"/>
        </w:rPr>
      </w:pPr>
    </w:p>
    <w:p w14:paraId="74966C05">
      <w:pPr>
        <w:pStyle w:val="7"/>
        <w:rPr>
          <w:color w:val="auto"/>
        </w:rPr>
      </w:pPr>
    </w:p>
    <w:p w14:paraId="70007663">
      <w:pPr>
        <w:rPr>
          <w:color w:val="auto"/>
        </w:rPr>
      </w:pPr>
    </w:p>
    <w:p w14:paraId="7674EBD7">
      <w:pPr>
        <w:pStyle w:val="7"/>
        <w:ind w:left="0" w:leftChars="0" w:firstLine="0" w:firstLineChars="0"/>
      </w:pPr>
    </w:p>
    <w:p w14:paraId="6385A43C">
      <w:pPr>
        <w:pStyle w:val="7"/>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2025年临江公司非标件测绘服务采购项目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202507056</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21381B49">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响应产品规格配置清单；</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6</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09231FD8">
      <w:pPr>
        <w:numPr>
          <w:ilvl w:val="0"/>
          <w:numId w:val="0"/>
        </w:numPr>
        <w:snapToGrid w:val="0"/>
        <w:spacing w:line="360" w:lineRule="auto"/>
        <w:ind w:left="210" w:leftChars="100" w:firstLine="480" w:firstLineChars="200"/>
        <w:rPr>
          <w:rFonts w:hint="eastAsia" w:cs="仿宋" w:asciiTheme="minorEastAsia" w:hAnsiTheme="minorEastAsia"/>
          <w:color w:val="auto"/>
          <w:sz w:val="24"/>
        </w:rPr>
      </w:pPr>
      <w:r>
        <w:rPr>
          <w:rFonts w:hint="eastAsia" w:cs="仿宋" w:asciiTheme="minorEastAsia" w:hAnsiTheme="minorEastAsia" w:eastAsiaTheme="minorEastAsia"/>
          <w:color w:val="auto"/>
          <w:kern w:val="2"/>
          <w:sz w:val="24"/>
          <w:szCs w:val="24"/>
          <w:lang w:val="en-US" w:eastAsia="zh-CN" w:bidi="ar-SA"/>
        </w:rPr>
        <w:t>5</w:t>
      </w:r>
      <w:r>
        <w:rPr>
          <w:rFonts w:hint="eastAsia" w:cs="仿宋" w:asciiTheme="minorEastAsia" w:hAnsiTheme="minorEastAsia"/>
          <w:color w:val="auto"/>
          <w:kern w:val="2"/>
          <w:sz w:val="24"/>
          <w:szCs w:val="24"/>
          <w:lang w:val="en-US" w:eastAsia="zh-CN" w:bidi="ar-SA"/>
        </w:rPr>
        <w:t>.</w:t>
      </w:r>
      <w:r>
        <w:rPr>
          <w:rFonts w:hint="eastAsia" w:cs="仿宋" w:asciiTheme="minorEastAsia" w:hAnsiTheme="minorEastAsia"/>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w:t>
      </w:r>
    </w:p>
    <w:p w14:paraId="458517DD">
      <w:pPr>
        <w:pStyle w:val="6"/>
        <w:widowControl w:val="0"/>
        <w:numPr>
          <w:ilvl w:val="0"/>
          <w:numId w:val="0"/>
        </w:numPr>
        <w:autoSpaceDE w:val="0"/>
        <w:autoSpaceDN w:val="0"/>
        <w:adjustRightInd w:val="0"/>
        <w:spacing w:line="360" w:lineRule="auto"/>
        <w:jc w:val="both"/>
        <w:rPr>
          <w:color w:val="auto"/>
        </w:rPr>
      </w:pPr>
    </w:p>
    <w:p w14:paraId="6225769F">
      <w:pPr>
        <w:pStyle w:val="7"/>
        <w:rPr>
          <w:color w:val="auto"/>
        </w:rPr>
      </w:pP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2025年临江公司非标件测绘服务采购项目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7"/>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7"/>
        <w:rPr>
          <w:rFonts w:hint="eastAsia"/>
          <w:color w:val="auto"/>
          <w:lang w:val="zh-CN"/>
        </w:rPr>
      </w:pPr>
    </w:p>
    <w:p w14:paraId="5991269C">
      <w:pPr>
        <w:rPr>
          <w:color w:val="auto"/>
        </w:rPr>
      </w:pPr>
    </w:p>
    <w:p w14:paraId="7C352615">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6"/>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6"/>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3"/>
        <w:widowControl w:val="0"/>
        <w:numPr>
          <w:ilvl w:val="0"/>
          <w:numId w:val="0"/>
        </w:numPr>
        <w:jc w:val="left"/>
        <w:rPr>
          <w:rFonts w:hint="eastAsia"/>
          <w:color w:val="auto"/>
          <w:lang w:val="zh-CN"/>
        </w:rPr>
      </w:pPr>
    </w:p>
    <w:p w14:paraId="62D40033">
      <w:pPr>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3"/>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2025年临江公司非标件测绘服务采购项目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3C8E6961">
      <w:pPr>
        <w:spacing w:line="360" w:lineRule="auto"/>
        <w:jc w:val="center"/>
        <w:outlineLvl w:val="0"/>
        <w:rPr>
          <w:rFonts w:hint="eastAsia" w:cs="仿宋" w:asciiTheme="minorEastAsia" w:hAnsiTheme="minorEastAsia"/>
          <w:b/>
          <w:color w:val="auto"/>
          <w:kern w:val="0"/>
          <w:sz w:val="36"/>
          <w:szCs w:val="36"/>
        </w:rPr>
      </w:pPr>
    </w:p>
    <w:p w14:paraId="026E430F">
      <w:pPr>
        <w:spacing w:line="360" w:lineRule="auto"/>
        <w:jc w:val="center"/>
        <w:outlineLvl w:val="0"/>
        <w:rPr>
          <w:rFonts w:hint="eastAsia" w:cs="仿宋" w:asciiTheme="minorEastAsia" w:hAnsiTheme="minorEastAsia"/>
          <w:b/>
          <w:color w:val="auto"/>
          <w:kern w:val="0"/>
          <w:sz w:val="36"/>
          <w:szCs w:val="36"/>
        </w:rPr>
      </w:pPr>
    </w:p>
    <w:p w14:paraId="6581D3FC">
      <w:pPr>
        <w:spacing w:line="360" w:lineRule="auto"/>
        <w:jc w:val="center"/>
        <w:outlineLvl w:val="0"/>
        <w:rPr>
          <w:rFonts w:hint="eastAsia" w:cs="仿宋" w:asciiTheme="minorEastAsia" w:hAnsiTheme="minorEastAsia"/>
          <w:b/>
          <w:color w:val="auto"/>
          <w:kern w:val="0"/>
          <w:sz w:val="36"/>
          <w:szCs w:val="36"/>
        </w:rPr>
      </w:pPr>
    </w:p>
    <w:p w14:paraId="539E516C">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8"/>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2025年临江公司非标件测绘服务采购项目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29"/>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2025年临江公司非标件测绘服务采购项目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202507056</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5"/>
        <w:tblW w:w="134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1377"/>
        <w:gridCol w:w="3745"/>
        <w:gridCol w:w="3529"/>
        <w:gridCol w:w="725"/>
        <w:gridCol w:w="750"/>
        <w:gridCol w:w="824"/>
        <w:gridCol w:w="1008"/>
        <w:gridCol w:w="922"/>
      </w:tblGrid>
      <w:tr w14:paraId="5038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D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C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3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E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服务要求</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6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C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F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1E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28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4B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7FF4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B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6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机械非标件测绘</w:t>
            </w:r>
          </w:p>
        </w:tc>
        <w:tc>
          <w:tcPr>
            <w:tcW w:w="3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E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非标件测绘，制作CAD电子版图纸及A3纸质图纸</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E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olor w:val="auto"/>
                <w:highlight w:val="none"/>
                <w:lang w:val="en-US" w:eastAsia="zh-CN"/>
              </w:rPr>
              <w:t>机械密封配件、公用刮板机配件、出渣机配件、撕碎机配件等，具体</w:t>
            </w:r>
            <w:r>
              <w:rPr>
                <w:rFonts w:hint="eastAsia" w:ascii="宋体" w:hAnsi="宋体" w:eastAsia="宋体" w:cs="宋体"/>
                <w:i w:val="0"/>
                <w:iCs w:val="0"/>
                <w:color w:val="000000"/>
                <w:kern w:val="0"/>
                <w:sz w:val="22"/>
                <w:szCs w:val="22"/>
                <w:u w:val="none"/>
                <w:lang w:val="en-US" w:eastAsia="zh-CN" w:bidi="ar"/>
              </w:rPr>
              <w:t>根据采购人实际需求为准。</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5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B02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D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CC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0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2B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B396F9">
            <w:pP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1"/>
                <w:szCs w:val="21"/>
                <w:highlight w:val="none"/>
              </w:rPr>
              <w:t>响应报价合计（小写）</w:t>
            </w:r>
          </w:p>
        </w:tc>
        <w:tc>
          <w:tcPr>
            <w:tcW w:w="42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592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C7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BA77C7">
            <w:pP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1"/>
                <w:szCs w:val="21"/>
                <w:highlight w:val="none"/>
              </w:rPr>
              <w:t>响应报价合计（大写）</w:t>
            </w:r>
          </w:p>
        </w:tc>
        <w:tc>
          <w:tcPr>
            <w:tcW w:w="42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55D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BE0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57BBDB">
            <w:pPr>
              <w:spacing w:line="360" w:lineRule="auto"/>
              <w:jc w:val="center"/>
              <w:rPr>
                <w:rFonts w:hint="eastAsia" w:cs="仿宋" w:asciiTheme="minorEastAsia" w:hAnsiTheme="minorEastAsia" w:eastAsia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税率</w:t>
            </w:r>
          </w:p>
        </w:tc>
        <w:tc>
          <w:tcPr>
            <w:tcW w:w="42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291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color w:val="auto"/>
                <w:sz w:val="21"/>
                <w:szCs w:val="21"/>
                <w:highlight w:val="none"/>
                <w:u w:val="single"/>
                <w:lang w:val="en-US" w:eastAsia="zh-CN"/>
              </w:rPr>
              <w:t xml:space="preserve">    </w:t>
            </w:r>
            <w:r>
              <w:rPr>
                <w:rFonts w:hint="eastAsia" w:cs="仿宋" w:asciiTheme="minorEastAsia" w:hAnsiTheme="minorEastAsia"/>
                <w:color w:val="auto"/>
                <w:sz w:val="21"/>
                <w:szCs w:val="21"/>
                <w:highlight w:val="none"/>
                <w:lang w:val="en-US" w:eastAsia="zh-CN"/>
              </w:rPr>
              <w:t xml:space="preserve"> %</w:t>
            </w:r>
          </w:p>
        </w:tc>
      </w:tr>
    </w:tbl>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5A955980">
      <w:pPr>
        <w:snapToGrid w:val="0"/>
        <w:spacing w:line="360" w:lineRule="auto"/>
        <w:ind w:firstLine="480" w:firstLineChars="200"/>
        <w:jc w:val="left"/>
        <w:rPr>
          <w:color w:val="auto"/>
        </w:rPr>
      </w:pPr>
      <w:r>
        <w:rPr>
          <w:rFonts w:hint="eastAsia" w:ascii="宋体" w:hAnsi="宋体" w:cs="宋体"/>
          <w:color w:val="auto"/>
          <w:kern w:val="0"/>
          <w:sz w:val="24"/>
          <w:lang w:val="zh-CN"/>
        </w:rPr>
        <w:t>3、特别提示：采购人将对项目名称和项目编号，成交供应商名称、成交金额予以公示。</w:t>
      </w:r>
    </w:p>
    <w:p w14:paraId="51D19BFC">
      <w:pPr>
        <w:pStyle w:val="7"/>
        <w:rPr>
          <w:color w:val="auto"/>
        </w:rPr>
      </w:pPr>
    </w:p>
    <w:p w14:paraId="6C378D68">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10"/>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2025年临江公司非标件测绘服务采购项目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202507056</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2025年临江公司非标件测绘服务采购项目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202507056</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10"/>
        <w:rPr>
          <w:rFonts w:hint="eastAsia" w:hAnsi="宋体" w:cs="宋体"/>
          <w:b/>
          <w:bCs/>
          <w:sz w:val="24"/>
        </w:rPr>
      </w:pPr>
    </w:p>
    <w:p w14:paraId="5BC930A5">
      <w:pPr>
        <w:pStyle w:val="10"/>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3"/>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1F039C58">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1"/>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1"/>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2"/>
      <w:jc w:val="right"/>
      <w:rPr>
        <w:rFonts w:ascii="仿宋" w:hAnsi="仿宋" w:eastAsia="仿宋" w:cs="仿宋"/>
        <w:i/>
        <w:iCs/>
      </w:rPr>
    </w:pPr>
  </w:p>
  <w:p w14:paraId="793F1943">
    <w:pPr>
      <w:pStyle w:val="12"/>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2"/>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2"/>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13D6280"/>
    <w:rsid w:val="023E1286"/>
    <w:rsid w:val="024141DC"/>
    <w:rsid w:val="03272182"/>
    <w:rsid w:val="03F704C6"/>
    <w:rsid w:val="046A1781"/>
    <w:rsid w:val="047D4F66"/>
    <w:rsid w:val="04E634F4"/>
    <w:rsid w:val="05150472"/>
    <w:rsid w:val="05171224"/>
    <w:rsid w:val="051B17AF"/>
    <w:rsid w:val="0706436A"/>
    <w:rsid w:val="0805754C"/>
    <w:rsid w:val="08322A8C"/>
    <w:rsid w:val="08670640"/>
    <w:rsid w:val="08E37A2F"/>
    <w:rsid w:val="093E7D8B"/>
    <w:rsid w:val="09545F70"/>
    <w:rsid w:val="09946F9F"/>
    <w:rsid w:val="09D74B85"/>
    <w:rsid w:val="09EC7123"/>
    <w:rsid w:val="09ED56C9"/>
    <w:rsid w:val="0A1D0FFF"/>
    <w:rsid w:val="0A7C1006"/>
    <w:rsid w:val="0AD025A1"/>
    <w:rsid w:val="0B4E0B4D"/>
    <w:rsid w:val="0BD07B44"/>
    <w:rsid w:val="0BFF2A12"/>
    <w:rsid w:val="0C492847"/>
    <w:rsid w:val="0C554576"/>
    <w:rsid w:val="0F095788"/>
    <w:rsid w:val="0F29227F"/>
    <w:rsid w:val="0F5E496A"/>
    <w:rsid w:val="0F81598B"/>
    <w:rsid w:val="10947BCD"/>
    <w:rsid w:val="10BE08E9"/>
    <w:rsid w:val="1157552B"/>
    <w:rsid w:val="11EC0AD6"/>
    <w:rsid w:val="13064D3F"/>
    <w:rsid w:val="1399374C"/>
    <w:rsid w:val="13BF1AD6"/>
    <w:rsid w:val="13FF5068"/>
    <w:rsid w:val="14521AA0"/>
    <w:rsid w:val="146C41CB"/>
    <w:rsid w:val="15003014"/>
    <w:rsid w:val="15BE749A"/>
    <w:rsid w:val="15E02F18"/>
    <w:rsid w:val="166F3635"/>
    <w:rsid w:val="185A544F"/>
    <w:rsid w:val="18890233"/>
    <w:rsid w:val="18CF230C"/>
    <w:rsid w:val="19711A8B"/>
    <w:rsid w:val="198737C7"/>
    <w:rsid w:val="19DC6BDA"/>
    <w:rsid w:val="1AA56FDE"/>
    <w:rsid w:val="1B7913A6"/>
    <w:rsid w:val="1BEF726B"/>
    <w:rsid w:val="1C017D20"/>
    <w:rsid w:val="1C742A28"/>
    <w:rsid w:val="1CAA3340"/>
    <w:rsid w:val="1CD34128"/>
    <w:rsid w:val="1CDE6781"/>
    <w:rsid w:val="1D987ACC"/>
    <w:rsid w:val="1DEB283E"/>
    <w:rsid w:val="1F29161A"/>
    <w:rsid w:val="1F457921"/>
    <w:rsid w:val="20284B0B"/>
    <w:rsid w:val="215F709E"/>
    <w:rsid w:val="21677697"/>
    <w:rsid w:val="229536BA"/>
    <w:rsid w:val="22A244DC"/>
    <w:rsid w:val="235E195C"/>
    <w:rsid w:val="2378337E"/>
    <w:rsid w:val="23AE001C"/>
    <w:rsid w:val="23C721A3"/>
    <w:rsid w:val="249017C8"/>
    <w:rsid w:val="24DA6F9D"/>
    <w:rsid w:val="251A0B90"/>
    <w:rsid w:val="25251AF7"/>
    <w:rsid w:val="25C26B32"/>
    <w:rsid w:val="272E083D"/>
    <w:rsid w:val="27C87065"/>
    <w:rsid w:val="27D77CED"/>
    <w:rsid w:val="284A39BF"/>
    <w:rsid w:val="286A0D7D"/>
    <w:rsid w:val="28A354BE"/>
    <w:rsid w:val="298D0BC4"/>
    <w:rsid w:val="2A1060BE"/>
    <w:rsid w:val="2A6366FF"/>
    <w:rsid w:val="2A6807FA"/>
    <w:rsid w:val="2AD92671"/>
    <w:rsid w:val="2B2D753F"/>
    <w:rsid w:val="2B32649C"/>
    <w:rsid w:val="2B9B5E5B"/>
    <w:rsid w:val="2BDA5141"/>
    <w:rsid w:val="2C270527"/>
    <w:rsid w:val="2C4141D8"/>
    <w:rsid w:val="2D0347D2"/>
    <w:rsid w:val="2D682F2F"/>
    <w:rsid w:val="2E543475"/>
    <w:rsid w:val="2EA152A3"/>
    <w:rsid w:val="2F1F33A8"/>
    <w:rsid w:val="2F5836E9"/>
    <w:rsid w:val="2F7610B9"/>
    <w:rsid w:val="2F7A10AB"/>
    <w:rsid w:val="30123142"/>
    <w:rsid w:val="302169BE"/>
    <w:rsid w:val="304A7E50"/>
    <w:rsid w:val="314B6E80"/>
    <w:rsid w:val="31BF0628"/>
    <w:rsid w:val="32843E96"/>
    <w:rsid w:val="32D33460"/>
    <w:rsid w:val="345E1452"/>
    <w:rsid w:val="346671FA"/>
    <w:rsid w:val="34B27304"/>
    <w:rsid w:val="34BD5CF3"/>
    <w:rsid w:val="351F7AFD"/>
    <w:rsid w:val="352F03C1"/>
    <w:rsid w:val="35B75F88"/>
    <w:rsid w:val="36162BCB"/>
    <w:rsid w:val="361749EF"/>
    <w:rsid w:val="363646DC"/>
    <w:rsid w:val="36412810"/>
    <w:rsid w:val="36A32180"/>
    <w:rsid w:val="36BD312A"/>
    <w:rsid w:val="36C96732"/>
    <w:rsid w:val="37396C72"/>
    <w:rsid w:val="37514AF4"/>
    <w:rsid w:val="377C0298"/>
    <w:rsid w:val="37F61CA1"/>
    <w:rsid w:val="388A1C74"/>
    <w:rsid w:val="394A64EB"/>
    <w:rsid w:val="39C31C6C"/>
    <w:rsid w:val="3A797A04"/>
    <w:rsid w:val="3C283344"/>
    <w:rsid w:val="3C3420E0"/>
    <w:rsid w:val="3C485F9D"/>
    <w:rsid w:val="3C4E2A76"/>
    <w:rsid w:val="3C7C70D7"/>
    <w:rsid w:val="3CB84BBF"/>
    <w:rsid w:val="3D3879AE"/>
    <w:rsid w:val="3E0C6463"/>
    <w:rsid w:val="3E564C85"/>
    <w:rsid w:val="3F4F566F"/>
    <w:rsid w:val="3F7215B9"/>
    <w:rsid w:val="3F8142B1"/>
    <w:rsid w:val="3FA13295"/>
    <w:rsid w:val="3FC90E96"/>
    <w:rsid w:val="403E57B7"/>
    <w:rsid w:val="40532D51"/>
    <w:rsid w:val="40533552"/>
    <w:rsid w:val="4179370E"/>
    <w:rsid w:val="41D016DB"/>
    <w:rsid w:val="42043E37"/>
    <w:rsid w:val="42112513"/>
    <w:rsid w:val="42E9077C"/>
    <w:rsid w:val="433F2D12"/>
    <w:rsid w:val="43496F4C"/>
    <w:rsid w:val="435518AD"/>
    <w:rsid w:val="437A2DA4"/>
    <w:rsid w:val="44873A1C"/>
    <w:rsid w:val="4491515E"/>
    <w:rsid w:val="46EB193D"/>
    <w:rsid w:val="470471FE"/>
    <w:rsid w:val="472961BF"/>
    <w:rsid w:val="472E3564"/>
    <w:rsid w:val="49105C83"/>
    <w:rsid w:val="492B6ADD"/>
    <w:rsid w:val="4992263D"/>
    <w:rsid w:val="499917D4"/>
    <w:rsid w:val="49A53D97"/>
    <w:rsid w:val="49FB6AEB"/>
    <w:rsid w:val="4A035B02"/>
    <w:rsid w:val="4AE27CAC"/>
    <w:rsid w:val="4B1B26BD"/>
    <w:rsid w:val="4BAC48C9"/>
    <w:rsid w:val="4CAA0A32"/>
    <w:rsid w:val="4E191EC4"/>
    <w:rsid w:val="4EA9254B"/>
    <w:rsid w:val="4F251D5C"/>
    <w:rsid w:val="4FA2259F"/>
    <w:rsid w:val="4FD65994"/>
    <w:rsid w:val="4FEB08B0"/>
    <w:rsid w:val="50772E11"/>
    <w:rsid w:val="50886E1D"/>
    <w:rsid w:val="50D545B6"/>
    <w:rsid w:val="513B5867"/>
    <w:rsid w:val="51454B8D"/>
    <w:rsid w:val="514563A8"/>
    <w:rsid w:val="523875F5"/>
    <w:rsid w:val="52506204"/>
    <w:rsid w:val="52B35FD7"/>
    <w:rsid w:val="533B163F"/>
    <w:rsid w:val="53FA1DF3"/>
    <w:rsid w:val="54204352"/>
    <w:rsid w:val="54AB2D04"/>
    <w:rsid w:val="54BE47E5"/>
    <w:rsid w:val="56F563A5"/>
    <w:rsid w:val="571F3A0C"/>
    <w:rsid w:val="57F2034A"/>
    <w:rsid w:val="58235318"/>
    <w:rsid w:val="58354DBE"/>
    <w:rsid w:val="586E6522"/>
    <w:rsid w:val="58BE2D14"/>
    <w:rsid w:val="59121C77"/>
    <w:rsid w:val="59176F69"/>
    <w:rsid w:val="59DD570D"/>
    <w:rsid w:val="59DE0E09"/>
    <w:rsid w:val="59F526EB"/>
    <w:rsid w:val="5A283DD0"/>
    <w:rsid w:val="5A2E5F69"/>
    <w:rsid w:val="5A974EDF"/>
    <w:rsid w:val="5ACD76EE"/>
    <w:rsid w:val="5B021A05"/>
    <w:rsid w:val="5B330D80"/>
    <w:rsid w:val="5B3D7F5F"/>
    <w:rsid w:val="5EA617F0"/>
    <w:rsid w:val="5ED57644"/>
    <w:rsid w:val="5EFD2476"/>
    <w:rsid w:val="5F0279C4"/>
    <w:rsid w:val="5F165964"/>
    <w:rsid w:val="5F433EA1"/>
    <w:rsid w:val="5F8C0C0E"/>
    <w:rsid w:val="5F944466"/>
    <w:rsid w:val="6139287F"/>
    <w:rsid w:val="61C61218"/>
    <w:rsid w:val="61DB1332"/>
    <w:rsid w:val="61F56B7E"/>
    <w:rsid w:val="62121B84"/>
    <w:rsid w:val="6218254A"/>
    <w:rsid w:val="63CF15A0"/>
    <w:rsid w:val="6434196E"/>
    <w:rsid w:val="64B04D12"/>
    <w:rsid w:val="64CD2ABF"/>
    <w:rsid w:val="64EF09EB"/>
    <w:rsid w:val="657B7ADB"/>
    <w:rsid w:val="660E4A3F"/>
    <w:rsid w:val="66A54383"/>
    <w:rsid w:val="66B60EF8"/>
    <w:rsid w:val="673E5F91"/>
    <w:rsid w:val="67614576"/>
    <w:rsid w:val="679754A0"/>
    <w:rsid w:val="67D649B5"/>
    <w:rsid w:val="689618A9"/>
    <w:rsid w:val="68C66552"/>
    <w:rsid w:val="69345B52"/>
    <w:rsid w:val="69DF403D"/>
    <w:rsid w:val="6A30648F"/>
    <w:rsid w:val="6A4E3ABD"/>
    <w:rsid w:val="6A9D6924"/>
    <w:rsid w:val="6ABD4230"/>
    <w:rsid w:val="6ABF2969"/>
    <w:rsid w:val="6AE63D7E"/>
    <w:rsid w:val="6B462C2B"/>
    <w:rsid w:val="6BD746DF"/>
    <w:rsid w:val="6BDC6E7B"/>
    <w:rsid w:val="6CEB080D"/>
    <w:rsid w:val="6D893D5F"/>
    <w:rsid w:val="6DA6506A"/>
    <w:rsid w:val="6EAC75B8"/>
    <w:rsid w:val="6F502166"/>
    <w:rsid w:val="700D088C"/>
    <w:rsid w:val="700E4F44"/>
    <w:rsid w:val="70173239"/>
    <w:rsid w:val="70EC66CE"/>
    <w:rsid w:val="70FC24C5"/>
    <w:rsid w:val="71A36DE5"/>
    <w:rsid w:val="721A5B23"/>
    <w:rsid w:val="72B931C1"/>
    <w:rsid w:val="738D03F5"/>
    <w:rsid w:val="73D37293"/>
    <w:rsid w:val="7420296E"/>
    <w:rsid w:val="7431692A"/>
    <w:rsid w:val="74435A84"/>
    <w:rsid w:val="764022FF"/>
    <w:rsid w:val="767E5B01"/>
    <w:rsid w:val="779944AF"/>
    <w:rsid w:val="78160310"/>
    <w:rsid w:val="785A54C0"/>
    <w:rsid w:val="78D32916"/>
    <w:rsid w:val="78FD6DDA"/>
    <w:rsid w:val="79674595"/>
    <w:rsid w:val="79AA36CA"/>
    <w:rsid w:val="79DF4732"/>
    <w:rsid w:val="79EB254B"/>
    <w:rsid w:val="79F044D8"/>
    <w:rsid w:val="7AF4716D"/>
    <w:rsid w:val="7AF75924"/>
    <w:rsid w:val="7B2031F9"/>
    <w:rsid w:val="7BA82ABD"/>
    <w:rsid w:val="7C0D0FD1"/>
    <w:rsid w:val="7C165862"/>
    <w:rsid w:val="7C662D96"/>
    <w:rsid w:val="7CFD5C38"/>
    <w:rsid w:val="7D713C29"/>
    <w:rsid w:val="7D797C2B"/>
    <w:rsid w:val="7D810EAC"/>
    <w:rsid w:val="7D955BFE"/>
    <w:rsid w:val="7DAC6A56"/>
    <w:rsid w:val="7E0230E5"/>
    <w:rsid w:val="7E1A3F8B"/>
    <w:rsid w:val="7E600661"/>
    <w:rsid w:val="7EA13F7B"/>
    <w:rsid w:val="7F62349B"/>
    <w:rsid w:val="7FBD485C"/>
    <w:rsid w:val="7FC75086"/>
    <w:rsid w:val="7FE2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7"/>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First Indent"/>
    <w:basedOn w:val="6"/>
    <w:next w:val="8"/>
    <w:autoRedefine/>
    <w:qFormat/>
    <w:uiPriority w:val="0"/>
    <w:pPr>
      <w:ind w:firstLine="420"/>
    </w:pPr>
    <w:rPr>
      <w:rFonts w:hAnsi="Times New Roman" w:cs="Times New Roman"/>
      <w:snapToGrid/>
      <w:szCs w:val="20"/>
    </w:rPr>
  </w:style>
  <w:style w:type="paragraph" w:styleId="8">
    <w:name w:val="toc 6"/>
    <w:basedOn w:val="1"/>
    <w:next w:val="1"/>
    <w:autoRedefine/>
    <w:qFormat/>
    <w:uiPriority w:val="0"/>
    <w:pPr>
      <w:ind w:left="2100" w:leftChars="1000"/>
    </w:p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样式 标题 1 + 四号 加粗"/>
    <w:basedOn w:val="2"/>
    <w:autoRedefine/>
    <w:qFormat/>
    <w:uiPriority w:val="0"/>
  </w:style>
  <w:style w:type="character" w:customStyle="1" w:styleId="31">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5059</Words>
  <Characters>5591</Characters>
  <Lines>0</Lines>
  <Paragraphs>0</Paragraphs>
  <TotalTime>0</TotalTime>
  <ScaleCrop>false</ScaleCrop>
  <LinksUpToDate>false</LinksUpToDate>
  <CharactersWithSpaces>5710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2025-07-24T08:04:28Z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A1ED29D5195F42DC88B15D6E555041E6</vt:lpwstr>
  </property>
  <property fmtid="{D5CDD505-2E9C-101B-9397-08002B2CF9AE}" pid="4" name="KSOTemplateDocerSaveRecord">
    <vt:lpwstr>eyJoZGlkIjoiYmE4NDUyY2MyMzJlMWJhMmJhYWRlZTBmZDU1MjJiNWMiLCJ1c2VySWQiOiI0MTM5MzY3MzkifQ==</vt:lpwstr>
  </property>
</Properties>
</file>