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2025年-2026年液动阀门采购项目（第三次）</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202508010</w:t>
      </w:r>
    </w:p>
    <w:p>
      <w:pPr>
        <w:spacing w:line="360" w:lineRule="auto"/>
        <w:jc w:val="center"/>
        <w:rPr>
          <w:rFonts w:cs="仿宋" w:asciiTheme="minorEastAsia" w:hAnsiTheme="minorEastAsia"/>
          <w:b/>
          <w:bCs/>
          <w:sz w:val="72"/>
          <w:szCs w:val="72"/>
        </w:rPr>
      </w:pPr>
    </w:p>
    <w:p>
      <w:pPr>
        <w:pStyle w:val="8"/>
        <w:rPr>
          <w:rFonts w:asciiTheme="minorEastAsia" w:hAnsiTheme="minorEastAsia"/>
        </w:rPr>
      </w:pPr>
    </w:p>
    <w:p>
      <w:pPr>
        <w:spacing w:line="360" w:lineRule="auto"/>
        <w:jc w:val="center"/>
        <w:rPr>
          <w:rFonts w:cs="仿宋" w:asciiTheme="minorEastAsia" w:hAnsiTheme="minorEastAsia"/>
          <w:b/>
          <w:bCs/>
          <w:sz w:val="72"/>
          <w:szCs w:val="72"/>
        </w:rPr>
      </w:pPr>
    </w:p>
    <w:p>
      <w:pPr>
        <w:pStyle w:val="10"/>
      </w:pPr>
    </w:p>
    <w:p/>
    <w:p>
      <w:pPr>
        <w:pStyle w:val="10"/>
      </w:pPr>
    </w:p>
    <w:p/>
    <w:p>
      <w:pPr>
        <w:spacing w:line="360" w:lineRule="auto"/>
        <w:rPr>
          <w:rFonts w:cs="仿宋" w:asciiTheme="minorEastAsia" w:hAnsiTheme="minorEastAsia"/>
          <w:sz w:val="24"/>
        </w:rPr>
      </w:pPr>
    </w:p>
    <w:p>
      <w:pPr>
        <w:pStyle w:val="10"/>
        <w:rPr>
          <w:rFonts w:cs="仿宋" w:asciiTheme="minorEastAsia" w:hAnsiTheme="minorEastAsia"/>
          <w:sz w:val="24"/>
          <w:szCs w:val="24"/>
        </w:rPr>
      </w:pPr>
    </w:p>
    <w:p>
      <w:pPr>
        <w:pStyle w:val="10"/>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8</w:t>
      </w:r>
      <w:r>
        <w:rPr>
          <w:rFonts w:hint="eastAsia" w:cs="仿宋" w:asciiTheme="minorEastAsia" w:hAnsiTheme="minorEastAsia"/>
          <w:sz w:val="32"/>
          <w:szCs w:val="32"/>
        </w:rPr>
        <w:t>月</w:t>
      </w:r>
      <w:r>
        <w:rPr>
          <w:rFonts w:hint="eastAsia" w:cs="仿宋" w:asciiTheme="minorEastAsia" w:hAnsiTheme="minorEastAsia"/>
          <w:sz w:val="32"/>
          <w:szCs w:val="32"/>
          <w:highlight w:val="none"/>
          <w:lang w:val="en-US" w:eastAsia="zh-CN"/>
        </w:rPr>
        <w:t>8</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02"/>
      <w:bookmarkStart w:id="2" w:name="_Toc28359079"/>
      <w:bookmarkStart w:id="3" w:name="_Toc35393790"/>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2025年-2026年液动阀门采购项目（第三次）</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4"/>
        <w:spacing w:line="240" w:lineRule="auto"/>
        <w:ind w:firstLine="482" w:firstLineChars="200"/>
        <w:rPr>
          <w:rFonts w:cs="仿宋" w:asciiTheme="minorEastAsia" w:hAnsiTheme="minorEastAsia" w:eastAsiaTheme="minorEastAsia"/>
          <w:bCs w:val="0"/>
          <w:sz w:val="24"/>
          <w:szCs w:val="24"/>
        </w:rPr>
      </w:pPr>
      <w:bookmarkStart w:id="6" w:name="OLE_LINK1"/>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202508010</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2025年-2026年液动阀门采购项目（第三次）</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highlight w:val="none"/>
        </w:rPr>
      </w:pPr>
      <w:r>
        <w:rPr>
          <w:rFonts w:hint="eastAsia" w:cs="仿宋" w:asciiTheme="minorEastAsia" w:hAnsiTheme="minorEastAsia"/>
          <w:b/>
          <w:bCs/>
          <w:sz w:val="24"/>
        </w:rPr>
        <w:t>4.最高限价：</w:t>
      </w:r>
      <w:r>
        <w:rPr>
          <w:rFonts w:hint="eastAsia" w:cs="仿宋" w:asciiTheme="minorEastAsia" w:hAnsiTheme="minorEastAsia"/>
          <w:b/>
          <w:bCs/>
          <w:sz w:val="24"/>
          <w:highlight w:val="none"/>
          <w:lang w:val="en-US" w:eastAsia="zh-CN"/>
        </w:rPr>
        <w:t>7.457</w:t>
      </w:r>
      <w:r>
        <w:rPr>
          <w:rFonts w:hint="eastAsia" w:cs="仿宋" w:asciiTheme="minorEastAsia" w:hAnsiTheme="minorEastAsia"/>
          <w:sz w:val="24"/>
          <w:highlight w:val="none"/>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液动阀门</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自合同签订后12个月</w:t>
      </w:r>
      <w:r>
        <w:rPr>
          <w:rFonts w:hint="eastAsia" w:cs="仿宋" w:asciiTheme="minorEastAsia" w:hAnsiTheme="minorEastAsia"/>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7" w:name="_Toc28359003"/>
      <w:bookmarkStart w:id="8" w:name="_Toc28359080"/>
      <w:bookmarkStart w:id="9" w:name="_Toc35393791"/>
      <w:bookmarkStart w:id="10" w:name="_Toc35393622"/>
      <w:r>
        <w:rPr>
          <w:rFonts w:hint="eastAsia" w:cs="仿宋" w:asciiTheme="minorEastAsia" w:hAnsiTheme="minorEastAsia"/>
          <w:b/>
          <w:bCs/>
          <w:sz w:val="24"/>
        </w:rPr>
        <w:t>二、供应商的资格要求：</w:t>
      </w:r>
      <w:bookmarkEnd w:id="7"/>
      <w:bookmarkEnd w:id="8"/>
      <w:bookmarkEnd w:id="9"/>
      <w:bookmarkEnd w:id="10"/>
      <w:bookmarkStart w:id="11" w:name="_Toc28359081"/>
      <w:bookmarkStart w:id="12" w:name="_Toc35393623"/>
      <w:bookmarkStart w:id="13" w:name="_Toc35393792"/>
      <w:bookmarkStart w:id="14" w:name="_Toc28359004"/>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Cs/>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sz w:val="24"/>
          <w:highlight w:val="none"/>
          <w:u w:val="single"/>
          <w:lang w:val="en-US"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1"/>
      <w:bookmarkEnd w:id="12"/>
      <w:bookmarkEnd w:id="13"/>
      <w:bookmarkEnd w:id="14"/>
      <w:r>
        <w:rPr>
          <w:rFonts w:hint="eastAsia" w:cs="仿宋" w:asciiTheme="minorEastAsia" w:hAnsiTheme="minorEastAsia"/>
          <w:b/>
          <w:bCs/>
          <w:sz w:val="24"/>
        </w:rPr>
        <w:t>获取（下载）询价采购文件</w:t>
      </w:r>
    </w:p>
    <w:p>
      <w:pPr>
        <w:pStyle w:val="4"/>
        <w:spacing w:before="0" w:after="0" w:line="360" w:lineRule="auto"/>
        <w:ind w:firstLine="480" w:firstLineChars="200"/>
        <w:rPr>
          <w:rFonts w:cs="仿宋" w:asciiTheme="minorEastAsia" w:hAnsiTheme="minorEastAsia" w:eastAsiaTheme="minorEastAsia"/>
          <w:b w:val="0"/>
          <w:sz w:val="24"/>
          <w:szCs w:val="24"/>
        </w:rPr>
      </w:pPr>
      <w:bookmarkStart w:id="15" w:name="_Toc35393624"/>
      <w:bookmarkStart w:id="16" w:name="_Toc28359005"/>
      <w:bookmarkStart w:id="17" w:name="_Toc35393793"/>
      <w:bookmarkStart w:id="18" w:name="_Toc28359082"/>
      <w:r>
        <w:rPr>
          <w:rFonts w:hint="eastAsia" w:cs="仿宋" w:asciiTheme="minorEastAsia" w:hAnsiTheme="minorEastAsia" w:eastAsiaTheme="minorEastAsia"/>
          <w:b w:val="0"/>
          <w:sz w:val="24"/>
          <w:szCs w:val="24"/>
        </w:rPr>
        <w:t xml:space="preserve">1.时间：报价截止时间前。   </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5"/>
    <w:bookmarkEnd w:id="16"/>
    <w:bookmarkEnd w:id="17"/>
    <w:bookmarkEnd w:id="18"/>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   </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highlight w:val="none"/>
          <w:u w:val="single"/>
          <w:lang w:eastAsia="zh-CN"/>
        </w:rPr>
        <w:t>202</w:t>
      </w:r>
      <w:r>
        <w:rPr>
          <w:rFonts w:hint="eastAsia" w:cs="仿宋" w:asciiTheme="minorEastAsia" w:hAnsiTheme="minorEastAsia"/>
          <w:sz w:val="24"/>
          <w:highlight w:val="none"/>
          <w:u w:val="single"/>
          <w:lang w:val="en-US" w:eastAsia="zh-CN"/>
        </w:rPr>
        <w:t>5</w:t>
      </w:r>
      <w:r>
        <w:rPr>
          <w:rFonts w:hint="eastAsia" w:cs="仿宋" w:asciiTheme="minorEastAsia" w:hAnsiTheme="minorEastAsia"/>
          <w:sz w:val="24"/>
          <w:highlight w:val="none"/>
          <w:u w:val="single"/>
          <w:lang w:eastAsia="zh-CN"/>
        </w:rPr>
        <w:t>年</w:t>
      </w:r>
      <w:r>
        <w:rPr>
          <w:rFonts w:hint="eastAsia" w:cs="仿宋" w:asciiTheme="minorEastAsia" w:hAnsiTheme="minorEastAsia"/>
          <w:sz w:val="24"/>
          <w:highlight w:val="none"/>
          <w:u w:val="single"/>
          <w:lang w:val="en-US" w:eastAsia="zh-CN"/>
        </w:rPr>
        <w:t>8</w:t>
      </w:r>
      <w:r>
        <w:rPr>
          <w:rFonts w:hint="eastAsia" w:cs="仿宋" w:asciiTheme="minorEastAsia" w:hAnsiTheme="minorEastAsia"/>
          <w:bCs/>
          <w:sz w:val="24"/>
          <w:highlight w:val="none"/>
          <w:u w:val="single"/>
        </w:rPr>
        <w:t>月</w:t>
      </w:r>
      <w:r>
        <w:rPr>
          <w:rFonts w:hint="eastAsia" w:cs="仿宋" w:asciiTheme="minorEastAsia" w:hAnsiTheme="minorEastAsia"/>
          <w:bCs/>
          <w:sz w:val="24"/>
          <w:highlight w:val="none"/>
          <w:u w:val="single"/>
          <w:lang w:val="en-US" w:eastAsia="zh-CN"/>
        </w:rPr>
        <w:t>15</w:t>
      </w:r>
      <w:r>
        <w:rPr>
          <w:rFonts w:hint="eastAsia" w:cs="仿宋" w:asciiTheme="minorEastAsia" w:hAnsiTheme="minorEastAsia"/>
          <w:bCs/>
          <w:sz w:val="24"/>
          <w:highlight w:val="none"/>
          <w:u w:val="single"/>
        </w:rPr>
        <w:t>日</w:t>
      </w:r>
      <w:r>
        <w:rPr>
          <w:rFonts w:hint="eastAsia" w:cs="仿宋" w:asciiTheme="minorEastAsia" w:hAnsiTheme="minorEastAsia"/>
          <w:bCs/>
          <w:sz w:val="24"/>
          <w:highlight w:val="none"/>
          <w:u w:val="single"/>
          <w:lang w:val="en-US" w:eastAsia="zh-CN"/>
        </w:rPr>
        <w:t>16</w:t>
      </w:r>
      <w:r>
        <w:rPr>
          <w:rFonts w:hint="eastAsia" w:cs="仿宋" w:asciiTheme="minorEastAsia" w:hAnsiTheme="minorEastAsia"/>
          <w:bCs/>
          <w:sz w:val="24"/>
          <w:highlight w:val="none"/>
          <w:u w:val="single"/>
        </w:rPr>
        <w:t>点</w:t>
      </w:r>
      <w:r>
        <w:rPr>
          <w:rFonts w:hint="eastAsia" w:cs="仿宋" w:asciiTheme="minorEastAsia" w:hAnsiTheme="minorEastAsia"/>
          <w:bCs/>
          <w:sz w:val="24"/>
          <w:highlight w:val="none"/>
          <w:u w:val="single"/>
          <w:lang w:val="en-US" w:eastAsia="zh-CN"/>
        </w:rPr>
        <w:t>20</w:t>
      </w:r>
      <w:r>
        <w:rPr>
          <w:rFonts w:hint="eastAsia" w:cs="仿宋" w:asciiTheme="minorEastAsia" w:hAnsiTheme="minorEastAsia"/>
          <w:bCs/>
          <w:sz w:val="24"/>
          <w:highlight w:val="none"/>
          <w:u w:val="single"/>
        </w:rPr>
        <w:t xml:space="preserve">分 </w:t>
      </w:r>
      <w:r>
        <w:rPr>
          <w:rFonts w:hint="eastAsia" w:cs="仿宋" w:asciiTheme="minorEastAsia" w:hAnsiTheme="minorEastAsia"/>
          <w:bCs/>
          <w:sz w:val="24"/>
          <w:highlight w:val="none"/>
          <w:u w:val="single"/>
          <w:lang w:val="en-US" w:eastAsia="zh-CN"/>
        </w:rPr>
        <w:t>00</w:t>
      </w:r>
      <w:r>
        <w:rPr>
          <w:rFonts w:hint="eastAsia" w:cs="仿宋" w:asciiTheme="minorEastAsia" w:hAnsiTheme="minorEastAsia"/>
          <w:bCs/>
          <w:sz w:val="24"/>
          <w:highlight w:val="none"/>
          <w:u w:val="single"/>
        </w:rPr>
        <w:t>秒</w:t>
      </w:r>
      <w:r>
        <w:rPr>
          <w:rFonts w:hint="eastAsia" w:cs="仿宋" w:asciiTheme="minorEastAsia" w:hAnsiTheme="minorEastAsia"/>
          <w:sz w:val="24"/>
          <w:highlight w:val="none"/>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w:t>
      </w:r>
      <w:bookmarkStart w:id="517" w:name="_GoBack"/>
      <w:bookmarkEnd w:id="517"/>
      <w:r>
        <w:rPr>
          <w:rFonts w:hint="eastAsia" w:cs="仿宋" w:asciiTheme="minorEastAsia" w:hAnsiTheme="minorEastAsia"/>
          <w:sz w:val="24"/>
        </w:rPr>
        <w:t>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8月</w:t>
      </w:r>
      <w:r>
        <w:rPr>
          <w:rFonts w:hint="eastAsia" w:cs="仿宋" w:asciiTheme="minorEastAsia" w:hAnsiTheme="minorEastAsia"/>
          <w:color w:val="auto"/>
          <w:sz w:val="24"/>
          <w:highlight w:val="none"/>
          <w:lang w:val="en-US" w:eastAsia="zh-CN"/>
        </w:rPr>
        <w:t>8</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bookmarkEnd w:id="6"/>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Pr>
        <w:rPr>
          <w:rFonts w:cs="仿宋" w:asciiTheme="minorEastAsia" w:hAnsiTheme="minorEastAsia"/>
          <w:b/>
          <w:bCs/>
          <w:sz w:val="36"/>
          <w:szCs w:val="36"/>
        </w:rPr>
      </w:pPr>
    </w:p>
    <w:p>
      <w:pPr>
        <w:pStyle w:val="2"/>
        <w:rPr>
          <w:rFonts w:cs="仿宋" w:asciiTheme="minorEastAsia" w:hAnsiTheme="minorEastAsia"/>
          <w:b/>
          <w:bCs/>
          <w:sz w:val="36"/>
          <w:szCs w:val="36"/>
        </w:rPr>
      </w:pPr>
    </w:p>
    <w:p/>
    <w:p>
      <w:pP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是否分册装订：</w:t>
            </w:r>
          </w:p>
          <w:p>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8"/>
        <w:rPr>
          <w:rFonts w:cs="仿宋" w:asciiTheme="minorEastAsia" w:hAnsiTheme="minorEastAsia"/>
          <w:b/>
          <w:sz w:val="32"/>
          <w:szCs w:val="20"/>
        </w:rPr>
      </w:pPr>
    </w:p>
    <w:p>
      <w:pPr>
        <w:pStyle w:val="16"/>
        <w:rPr>
          <w:rFonts w:cs="仿宋" w:asciiTheme="minorEastAsia" w:hAnsiTheme="minorEastAsia"/>
          <w:b/>
          <w:sz w:val="32"/>
          <w:szCs w:val="20"/>
        </w:rPr>
      </w:pPr>
    </w:p>
    <w:p>
      <w:pPr>
        <w:pStyle w:val="14"/>
        <w:rPr>
          <w:rFonts w:cs="仿宋" w:asciiTheme="minorEastAsia" w:hAnsiTheme="minorEastAsia"/>
          <w:b/>
          <w:sz w:val="32"/>
          <w:szCs w:val="20"/>
        </w:rPr>
      </w:pPr>
    </w:p>
    <w:p/>
    <w:p>
      <w:pPr>
        <w:pStyle w:val="2"/>
      </w:pPr>
    </w:p>
    <w:p/>
    <w:p>
      <w:pPr>
        <w:pStyle w:val="2"/>
      </w:pPr>
    </w:p>
    <w:p/>
    <w:p>
      <w:pPr>
        <w:pStyle w:val="2"/>
      </w:pPr>
    </w:p>
    <w:p/>
    <w:p>
      <w:pPr>
        <w:pStyle w:val="14"/>
        <w:rPr>
          <w:rFonts w:cs="仿宋" w:asciiTheme="minorEastAsia" w:hAnsiTheme="minorEastAsia"/>
          <w:b/>
          <w:sz w:val="32"/>
          <w:szCs w:val="20"/>
        </w:rPr>
      </w:pPr>
    </w:p>
    <w:p>
      <w:pPr>
        <w:rPr>
          <w:rFonts w:cs="仿宋" w:asciiTheme="minorEastAsia" w:hAnsiTheme="minorEastAsia"/>
          <w:b/>
          <w:sz w:val="32"/>
          <w:szCs w:val="20"/>
        </w:rPr>
      </w:pPr>
    </w:p>
    <w:p>
      <w:pPr>
        <w:pStyle w:val="2"/>
        <w:rPr>
          <w:rFonts w:cs="仿宋" w:asciiTheme="minorEastAsia" w:hAnsiTheme="minorEastAsia"/>
          <w:b/>
          <w:sz w:val="32"/>
          <w:szCs w:val="20"/>
        </w:rPr>
      </w:pPr>
    </w:p>
    <w:p/>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8"/>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3"/>
        <w:spacing w:before="0"/>
        <w:ind w:firstLine="0" w:firstLineChars="0"/>
        <w:jc w:val="center"/>
        <w:rPr>
          <w:rFonts w:cs="仿宋" w:asciiTheme="minorEastAsia" w:hAnsiTheme="minorEastAsia"/>
          <w:b/>
          <w:sz w:val="32"/>
        </w:rPr>
      </w:pPr>
    </w:p>
    <w:p>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3"/>
        <w:spacing w:before="0"/>
        <w:ind w:firstLine="495" w:firstLineChars="0"/>
        <w:rPr>
          <w:rFonts w:cs="仿宋" w:asciiTheme="minorEastAsia" w:hAnsiTheme="minorEastAsia"/>
          <w:kern w:val="0"/>
          <w:szCs w:val="24"/>
        </w:rPr>
      </w:pPr>
    </w:p>
    <w:p>
      <w:pPr>
        <w:pStyle w:val="23"/>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9"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8"/>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9"/>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9"/>
    </w:p>
    <w:p>
      <w:pPr>
        <w:rPr>
          <w:rFonts w:cs="仿宋" w:asciiTheme="minorEastAsia" w:hAnsiTheme="minorEastAsia"/>
          <w:kern w:val="0"/>
          <w:sz w:val="24"/>
        </w:rPr>
      </w:pPr>
    </w:p>
    <w:p>
      <w:pPr>
        <w:pStyle w:val="8"/>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8"/>
        <w:ind w:firstLine="480" w:firstLineChars="200"/>
        <w:rPr>
          <w:rFonts w:hint="eastAsia"/>
          <w:lang w:val="en-US"/>
        </w:rPr>
      </w:pPr>
      <w:r>
        <w:rPr>
          <w:rFonts w:hint="eastAsia"/>
          <w:lang w:val="en-US"/>
        </w:rPr>
        <w:t>杭州临江环境能源有限公司因日常生产需要，需采购</w:t>
      </w:r>
      <w:r>
        <w:rPr>
          <w:rFonts w:hint="eastAsia" w:ascii="宋体" w:hAnsi="宋体" w:eastAsia="宋体" w:cs="宋体"/>
          <w:color w:val="000000"/>
          <w:kern w:val="0"/>
          <w:sz w:val="24"/>
          <w:szCs w:val="24"/>
          <w:lang w:bidi="ar"/>
        </w:rPr>
        <w:t>伊顿</w:t>
      </w:r>
      <w:r>
        <w:rPr>
          <w:rFonts w:hint="eastAsia" w:ascii="宋体" w:hAnsi="宋体" w:eastAsia="宋体" w:cs="宋体"/>
          <w:color w:val="000000"/>
          <w:kern w:val="0"/>
          <w:sz w:val="24"/>
          <w:szCs w:val="24"/>
          <w:lang w:val="en-US" w:eastAsia="zh-CN" w:bidi="ar"/>
        </w:rPr>
        <w:t>液动阀组</w:t>
      </w:r>
      <w:r>
        <w:rPr>
          <w:rFonts w:hint="eastAsia"/>
          <w:lang w:val="en-US"/>
        </w:rPr>
        <w:t>一批，具体如下：</w:t>
      </w:r>
    </w:p>
    <w:tbl>
      <w:tblPr>
        <w:tblStyle w:val="17"/>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953"/>
        <w:gridCol w:w="1857"/>
        <w:gridCol w:w="2648"/>
        <w:gridCol w:w="682"/>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料斗挡板阀组</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385611-103020（DRAWING  NO.129F0100DWG/18)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推料器阀组</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385620-063030（DRAWING  NO.129F0200DWG/18)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炉排阀组</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385670-063060 （DRAWING  NO.129F0300DWG/18)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出渣机阀组</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385610-103010 （DRAWING  NO.129F0400DWG/18)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8"/>
        <w:rPr>
          <w:rFonts w:hint="eastAsia"/>
          <w:lang w:val="en-US"/>
        </w:rPr>
      </w:pPr>
    </w:p>
    <w:p>
      <w:pPr>
        <w:spacing w:line="360" w:lineRule="auto"/>
        <w:ind w:firstLine="482" w:firstLineChars="200"/>
        <w:rPr>
          <w:rFonts w:ascii="宋体" w:hAnsi="宋体" w:cs="宋体"/>
          <w:sz w:val="24"/>
        </w:rPr>
      </w:pPr>
      <w:r>
        <w:rPr>
          <w:rFonts w:hint="eastAsia" w:ascii="宋体" w:hAnsi="Arial" w:cs="Arial" w:eastAsiaTheme="minorEastAsia"/>
          <w:b/>
          <w:bCs/>
          <w:snapToGrid w:val="0"/>
          <w:kern w:val="2"/>
          <w:sz w:val="24"/>
          <w:szCs w:val="21"/>
          <w:lang w:val="en-US" w:eastAsia="zh-CN" w:bidi="ar-SA"/>
        </w:rPr>
        <w:t>二、合同期限：</w:t>
      </w:r>
      <w:r>
        <w:rPr>
          <w:rFonts w:hint="eastAsia" w:cs="仿宋" w:asciiTheme="minorEastAsia" w:hAnsiTheme="minorEastAsia"/>
          <w:sz w:val="24"/>
          <w:u w:val="single"/>
          <w:lang w:val="en-US" w:eastAsia="zh-CN"/>
        </w:rPr>
        <w:t>自合同签订后12个月</w:t>
      </w:r>
      <w:r>
        <w:rPr>
          <w:rFonts w:hint="eastAsia" w:ascii="宋体" w:hAnsi="宋体" w:cs="宋体"/>
          <w:sz w:val="24"/>
          <w:u w:val="single"/>
          <w:lang w:val="en-US" w:eastAsia="zh-CN"/>
        </w:rPr>
        <w:t xml:space="preserve"> ；</w:t>
      </w:r>
    </w:p>
    <w:p>
      <w:pPr>
        <w:pStyle w:val="8"/>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按采购人订单需求分批次完成供货。</w:t>
      </w:r>
    </w:p>
    <w:p>
      <w:pPr>
        <w:pStyle w:val="8"/>
        <w:ind w:firstLine="482" w:firstLineChars="200"/>
        <w:rPr>
          <w:b/>
          <w:bCs/>
          <w:lang w:val="en-US"/>
        </w:rPr>
      </w:pPr>
      <w:r>
        <w:rPr>
          <w:rFonts w:hint="eastAsia"/>
          <w:b/>
          <w:bCs/>
          <w:lang w:val="en-US" w:eastAsia="zh-CN"/>
        </w:rPr>
        <w:t>四</w:t>
      </w:r>
      <w:r>
        <w:rPr>
          <w:rFonts w:hint="eastAsia"/>
          <w:b/>
          <w:bCs/>
          <w:lang w:val="en-US"/>
        </w:rPr>
        <w:t>、技术、质量要求</w:t>
      </w:r>
    </w:p>
    <w:p>
      <w:pPr>
        <w:pStyle w:val="8"/>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型号等技术参数满足采购内容中的规格型号/技术要求</w:t>
      </w:r>
      <w:r>
        <w:rPr>
          <w:rFonts w:hint="eastAsia"/>
          <w:color w:val="auto"/>
          <w:highlight w:val="none"/>
          <w:lang w:eastAsia="zh-CN"/>
        </w:rPr>
        <w:t>。</w:t>
      </w:r>
    </w:p>
    <w:p>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w:t>
      </w:r>
      <w:r>
        <w:rPr>
          <w:rFonts w:hint="eastAsia" w:ascii="宋体" w:hAnsi="宋体" w:eastAsia="宋体" w:cs="宋体"/>
          <w:color w:val="auto"/>
          <w:kern w:val="0"/>
          <w:sz w:val="24"/>
          <w:szCs w:val="24"/>
          <w:lang w:bidi="ar"/>
        </w:rPr>
        <w:t>伊顿</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VICKERS  EATON</w:t>
      </w:r>
      <w:r>
        <w:rPr>
          <w:rFonts w:hint="eastAsia" w:ascii="宋体" w:hAnsi="宋体" w:eastAsia="宋体" w:cs="宋体"/>
          <w:color w:val="auto"/>
          <w:kern w:val="0"/>
          <w:sz w:val="24"/>
          <w:szCs w:val="24"/>
          <w:lang w:eastAsia="zh-CN" w:bidi="ar"/>
        </w:rPr>
        <w:t>）</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或翻新的</w:t>
      </w:r>
      <w:r>
        <w:rPr>
          <w:rFonts w:hint="eastAsia" w:ascii="宋体"/>
          <w:color w:val="auto"/>
          <w:highlight w:val="none"/>
          <w:lang w:val="en-US" w:eastAsia="zh-CN"/>
        </w:rPr>
        <w:t>产品。</w:t>
      </w:r>
    </w:p>
    <w:p>
      <w:pPr>
        <w:pStyle w:val="8"/>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货物的质保期自验收合格后12个月，若质保期内出现质量问题（非质量问题除外），由供应商负责免费维修或更换，产生的费用全部由供应商承担，维修或更换后质保期重新计算。</w:t>
      </w:r>
    </w:p>
    <w:p>
      <w:pPr>
        <w:pStyle w:val="8"/>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8"/>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trike/>
          <w:dstrike w:val="0"/>
          <w:color w:val="FF0000"/>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进口货物提供质量证明材料，如报关单、原产地证明、质量证明等一种或者多种纸质材料</w:t>
      </w:r>
      <w:r>
        <w:rPr>
          <w:rFonts w:hint="eastAsia" w:ascii="宋体" w:hAnsi="宋体" w:eastAsia="宋体" w:cs="宋体"/>
          <w:sz w:val="24"/>
          <w:highlight w:val="none"/>
        </w:rPr>
        <w:t>。</w:t>
      </w:r>
    </w:p>
    <w:p>
      <w:pPr>
        <w:tabs>
          <w:tab w:val="left" w:pos="360"/>
          <w:tab w:val="left" w:pos="540"/>
          <w:tab w:val="left" w:pos="1080"/>
        </w:tabs>
        <w:spacing w:line="360" w:lineRule="auto"/>
        <w:ind w:firstLine="480" w:firstLineChars="200"/>
        <w:rPr>
          <w:rFonts w:ascii="宋体" w:hAnsi="宋体" w:eastAsia="宋体" w:cs="宋体"/>
          <w:b/>
          <w:bCs/>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p>
    <w:p>
      <w:pPr>
        <w:pStyle w:val="16"/>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16"/>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8"/>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8"/>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8"/>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8"/>
        <w:numPr>
          <w:ilvl w:val="0"/>
          <w:numId w:val="0"/>
        </w:numPr>
        <w:ind w:firstLine="480" w:firstLineChars="200"/>
        <w:rPr>
          <w:rFonts w:hint="default" w:eastAsiaTheme="minorEastAsia"/>
          <w:lang w:val="en-US" w:eastAsia="zh-CN"/>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w:t>
      </w:r>
      <w:r>
        <w:rPr>
          <w:rFonts w:hint="eastAsia"/>
          <w:lang w:val="en-US" w:eastAsia="zh-CN"/>
        </w:rPr>
        <w:t>供应商</w:t>
      </w:r>
      <w:r>
        <w:rPr>
          <w:rFonts w:hint="eastAsia"/>
          <w:lang w:val="en-US"/>
        </w:rPr>
        <w:t>负责在接到采购人电话或书面通知后在</w:t>
      </w:r>
      <w:r>
        <w:rPr>
          <w:rFonts w:hint="eastAsia"/>
          <w:lang w:val="en-US" w:eastAsia="zh-CN"/>
        </w:rPr>
        <w:t>90天</w:t>
      </w:r>
      <w:r>
        <w:rPr>
          <w:rFonts w:hint="eastAsia"/>
          <w:lang w:val="en-US"/>
        </w:rPr>
        <w:t>内完成供货</w:t>
      </w:r>
      <w:r>
        <w:rPr>
          <w:rFonts w:hint="eastAsia"/>
          <w:lang w:val="en-US" w:eastAsia="zh-CN"/>
        </w:rPr>
        <w:t>，若因报关等因素，可适当顺延，但最长不能超过180天。</w:t>
      </w:r>
    </w:p>
    <w:p>
      <w:pPr>
        <w:pStyle w:val="8"/>
        <w:numPr>
          <w:ilvl w:val="0"/>
          <w:numId w:val="0"/>
        </w:numPr>
        <w:ind w:firstLine="480" w:firstLineChars="200"/>
        <w:rPr>
          <w:rFonts w:hint="eastAsia"/>
          <w:lang w:val="en-US"/>
        </w:rPr>
      </w:pPr>
      <w:r>
        <w:rPr>
          <w:rFonts w:ascii="宋体" w:hAnsi="Arial" w:cs="Arial" w:eastAsiaTheme="minorEastAsia"/>
          <w:snapToGrid w:val="0"/>
          <w:kern w:val="2"/>
          <w:sz w:val="24"/>
          <w:szCs w:val="21"/>
          <w:lang w:val="en-US" w:eastAsia="zh-CN" w:bidi="ar-SA"/>
        </w:rPr>
        <w:t>2.</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8"/>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16"/>
        <w:ind w:firstLine="480" w:firstLineChars="200"/>
        <w:rPr>
          <w:lang w:val="en-US"/>
        </w:rPr>
      </w:pPr>
      <w:r>
        <w:rPr>
          <w:rFonts w:hint="eastAsia"/>
          <w:lang w:val="en-US"/>
        </w:rPr>
        <w:t>以本询价采购文件中的合同条款为准。</w:t>
      </w:r>
    </w:p>
    <w:p>
      <w:pPr>
        <w:pStyle w:val="8"/>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8"/>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8"/>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8"/>
        <w:ind w:firstLine="480" w:firstLineChars="200"/>
        <w:rPr>
          <w:rFonts w:hint="eastAsia" w:ascii="宋体"/>
          <w:lang w:val="en-US"/>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8"/>
        <w:numPr>
          <w:ilvl w:val="0"/>
          <w:numId w:val="0"/>
        </w:numPr>
        <w:ind w:firstLine="482" w:firstLineChars="200"/>
        <w:rPr>
          <w:rFonts w:hint="eastAsia"/>
          <w:b/>
          <w:bCs/>
          <w:color w:val="auto"/>
          <w:lang w:val="en-US" w:eastAsia="zh-CN"/>
        </w:rPr>
      </w:pPr>
    </w:p>
    <w:p>
      <w:pPr>
        <w:pStyle w:val="8"/>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pStyle w:val="13"/>
      </w:pPr>
    </w:p>
    <w:p/>
    <w:p/>
    <w:p/>
    <w:p/>
    <w:p/>
    <w:p/>
    <w:p/>
    <w:p/>
    <w:p/>
    <w:p/>
    <w:p/>
    <w:p/>
    <w:p/>
    <w:p/>
    <w:p>
      <w:pPr>
        <w:pStyle w:val="2"/>
      </w:pPr>
    </w:p>
    <w:p/>
    <w:p/>
    <w:p/>
    <w:p/>
    <w:p/>
    <w:p/>
    <w:p/>
    <w:p>
      <w:pPr>
        <w:pStyle w:val="2"/>
      </w:pPr>
    </w:p>
    <w:p/>
    <w:p>
      <w:pPr>
        <w:pStyle w:val="2"/>
      </w:pPr>
    </w:p>
    <w:p/>
    <w:p>
      <w:pPr>
        <w:pStyle w:val="2"/>
      </w:pPr>
    </w:p>
    <w:p>
      <w:pPr>
        <w:spacing w:line="460" w:lineRule="exact"/>
        <w:jc w:val="center"/>
        <w:rPr>
          <w:rFonts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20" w:name="_Toc184313239"/>
      <w:bookmarkEnd w:id="20"/>
      <w:bookmarkStart w:id="21" w:name="_Toc184308063"/>
      <w:bookmarkEnd w:id="21"/>
      <w:bookmarkStart w:id="22" w:name="_Toc184312110"/>
      <w:bookmarkEnd w:id="22"/>
      <w:bookmarkStart w:id="23" w:name="_Toc184310309"/>
      <w:bookmarkEnd w:id="23"/>
      <w:bookmarkStart w:id="24" w:name="_Toc184312126"/>
      <w:bookmarkEnd w:id="24"/>
      <w:bookmarkStart w:id="25" w:name="_Toc184308066"/>
      <w:bookmarkEnd w:id="25"/>
      <w:bookmarkStart w:id="26" w:name="_Toc184310327"/>
      <w:bookmarkEnd w:id="26"/>
      <w:bookmarkStart w:id="27" w:name="_Toc184313283"/>
      <w:bookmarkEnd w:id="27"/>
      <w:bookmarkStart w:id="28" w:name="_Toc184308075"/>
      <w:bookmarkEnd w:id="28"/>
      <w:bookmarkStart w:id="29" w:name="_Toc184314482"/>
      <w:bookmarkEnd w:id="29"/>
      <w:bookmarkStart w:id="30" w:name="_Toc184314434"/>
      <w:bookmarkEnd w:id="30"/>
      <w:bookmarkStart w:id="31" w:name="_Toc184312067"/>
      <w:bookmarkEnd w:id="31"/>
      <w:bookmarkStart w:id="32" w:name="_Toc184308076"/>
      <w:bookmarkEnd w:id="32"/>
      <w:bookmarkStart w:id="33" w:name="_Toc184310344"/>
      <w:bookmarkEnd w:id="33"/>
      <w:bookmarkStart w:id="34" w:name="_Toc184312091"/>
      <w:bookmarkEnd w:id="34"/>
      <w:bookmarkStart w:id="35" w:name="_Toc184312107"/>
      <w:bookmarkEnd w:id="35"/>
      <w:bookmarkStart w:id="36" w:name="_Toc184310289"/>
      <w:bookmarkEnd w:id="36"/>
      <w:bookmarkStart w:id="37" w:name="_Toc184312103"/>
      <w:bookmarkEnd w:id="37"/>
      <w:bookmarkStart w:id="38" w:name="_Toc184313273"/>
      <w:bookmarkEnd w:id="38"/>
      <w:bookmarkStart w:id="39" w:name="_Toc184310316"/>
      <w:bookmarkEnd w:id="39"/>
      <w:bookmarkStart w:id="40" w:name="_Toc184314475"/>
      <w:bookmarkEnd w:id="40"/>
      <w:bookmarkStart w:id="41" w:name="_Toc184312130"/>
      <w:bookmarkEnd w:id="41"/>
      <w:bookmarkStart w:id="42" w:name="_Toc184308040"/>
      <w:bookmarkEnd w:id="42"/>
      <w:bookmarkStart w:id="43" w:name="_Toc184308044"/>
      <w:bookmarkEnd w:id="43"/>
      <w:bookmarkStart w:id="44" w:name="_Toc184314435"/>
      <w:bookmarkEnd w:id="44"/>
      <w:bookmarkStart w:id="45" w:name="_Toc184310334"/>
      <w:bookmarkEnd w:id="45"/>
      <w:bookmarkStart w:id="46" w:name="_Toc184312119"/>
      <w:bookmarkEnd w:id="46"/>
      <w:bookmarkStart w:id="47" w:name="_Toc184313238"/>
      <w:bookmarkEnd w:id="47"/>
      <w:bookmarkStart w:id="48" w:name="_Toc184313251"/>
      <w:bookmarkEnd w:id="48"/>
      <w:bookmarkStart w:id="49" w:name="_Toc184313303"/>
      <w:bookmarkEnd w:id="49"/>
      <w:bookmarkStart w:id="50" w:name="_Toc184314426"/>
      <w:bookmarkEnd w:id="50"/>
      <w:bookmarkStart w:id="51" w:name="_Toc184314471"/>
      <w:bookmarkEnd w:id="51"/>
      <w:bookmarkStart w:id="52" w:name="_Toc184310311"/>
      <w:bookmarkEnd w:id="52"/>
      <w:bookmarkStart w:id="53" w:name="_Toc184308061"/>
      <w:bookmarkEnd w:id="53"/>
      <w:bookmarkStart w:id="54" w:name="_Toc184312080"/>
      <w:bookmarkEnd w:id="54"/>
      <w:bookmarkStart w:id="55" w:name="_Toc184314411"/>
      <w:bookmarkEnd w:id="55"/>
      <w:bookmarkStart w:id="56" w:name="_Toc184310298"/>
      <w:bookmarkEnd w:id="56"/>
      <w:bookmarkStart w:id="57" w:name="_Toc184308054"/>
      <w:bookmarkEnd w:id="57"/>
      <w:bookmarkStart w:id="58" w:name="_Toc184310306"/>
      <w:bookmarkEnd w:id="58"/>
      <w:bookmarkStart w:id="59" w:name="_Toc184312122"/>
      <w:bookmarkEnd w:id="59"/>
      <w:bookmarkStart w:id="60" w:name="_Toc184308093"/>
      <w:bookmarkEnd w:id="60"/>
      <w:bookmarkStart w:id="61" w:name="_Toc184313254"/>
      <w:bookmarkEnd w:id="61"/>
      <w:bookmarkStart w:id="62" w:name="_Toc184312100"/>
      <w:bookmarkEnd w:id="62"/>
      <w:bookmarkStart w:id="63" w:name="_Toc184310335"/>
      <w:bookmarkEnd w:id="63"/>
      <w:bookmarkStart w:id="64" w:name="_Toc184313298"/>
      <w:bookmarkEnd w:id="64"/>
      <w:bookmarkStart w:id="65" w:name="_Toc184313304"/>
      <w:bookmarkEnd w:id="65"/>
      <w:bookmarkStart w:id="66" w:name="_Toc184308062"/>
      <w:bookmarkEnd w:id="66"/>
      <w:bookmarkStart w:id="67" w:name="_Toc184308073"/>
      <w:bookmarkEnd w:id="67"/>
      <w:bookmarkStart w:id="68" w:name="_Toc184313291"/>
      <w:bookmarkEnd w:id="68"/>
      <w:bookmarkStart w:id="69" w:name="_Toc184313268"/>
      <w:bookmarkEnd w:id="69"/>
      <w:bookmarkStart w:id="70" w:name="_Toc184308043"/>
      <w:bookmarkEnd w:id="70"/>
      <w:bookmarkStart w:id="71" w:name="_Toc184310280"/>
      <w:bookmarkEnd w:id="71"/>
      <w:bookmarkStart w:id="72" w:name="_Toc184310331"/>
      <w:bookmarkEnd w:id="72"/>
      <w:bookmarkStart w:id="73" w:name="_Toc184312098"/>
      <w:bookmarkEnd w:id="73"/>
      <w:bookmarkStart w:id="74" w:name="_Toc184313258"/>
      <w:bookmarkEnd w:id="74"/>
      <w:bookmarkStart w:id="75" w:name="_Toc184308101"/>
      <w:bookmarkEnd w:id="75"/>
      <w:bookmarkStart w:id="76" w:name="_Toc184312088"/>
      <w:bookmarkEnd w:id="76"/>
      <w:bookmarkStart w:id="77" w:name="_Toc184314420"/>
      <w:bookmarkEnd w:id="77"/>
      <w:bookmarkStart w:id="78" w:name="_Toc184310287"/>
      <w:bookmarkEnd w:id="78"/>
      <w:bookmarkStart w:id="79" w:name="_Toc184312116"/>
      <w:bookmarkEnd w:id="79"/>
      <w:bookmarkStart w:id="80" w:name="_Toc184312127"/>
      <w:bookmarkEnd w:id="80"/>
      <w:bookmarkStart w:id="81" w:name="_Toc184313301"/>
      <w:bookmarkEnd w:id="81"/>
      <w:bookmarkStart w:id="82" w:name="_Toc184312137"/>
      <w:bookmarkEnd w:id="82"/>
      <w:bookmarkStart w:id="83" w:name="_Toc184314480"/>
      <w:bookmarkEnd w:id="83"/>
      <w:bookmarkStart w:id="84" w:name="_Toc184314419"/>
      <w:bookmarkEnd w:id="84"/>
      <w:bookmarkStart w:id="85" w:name="_Toc184308085"/>
      <w:bookmarkEnd w:id="85"/>
      <w:bookmarkStart w:id="86" w:name="_Toc184313287"/>
      <w:bookmarkEnd w:id="86"/>
      <w:bookmarkStart w:id="87" w:name="_Toc184313262"/>
      <w:bookmarkEnd w:id="87"/>
      <w:bookmarkStart w:id="88" w:name="_Toc184313241"/>
      <w:bookmarkEnd w:id="88"/>
      <w:bookmarkStart w:id="89" w:name="_Toc184314478"/>
      <w:bookmarkEnd w:id="89"/>
      <w:bookmarkStart w:id="90" w:name="_Toc184313282"/>
      <w:bookmarkEnd w:id="90"/>
      <w:bookmarkStart w:id="91" w:name="_Toc184314461"/>
      <w:bookmarkEnd w:id="91"/>
      <w:bookmarkStart w:id="92" w:name="_Toc184314476"/>
      <w:bookmarkEnd w:id="92"/>
      <w:bookmarkStart w:id="93" w:name="_Toc184310279"/>
      <w:bookmarkEnd w:id="93"/>
      <w:bookmarkStart w:id="94" w:name="_Toc184312085"/>
      <w:bookmarkEnd w:id="94"/>
      <w:bookmarkStart w:id="95" w:name="_Toc184313269"/>
      <w:bookmarkEnd w:id="95"/>
      <w:bookmarkStart w:id="96" w:name="_Toc184308088"/>
      <w:bookmarkEnd w:id="96"/>
      <w:bookmarkStart w:id="97" w:name="_Toc184308067"/>
      <w:bookmarkEnd w:id="97"/>
      <w:bookmarkStart w:id="98" w:name="_Toc184310281"/>
      <w:bookmarkEnd w:id="98"/>
      <w:bookmarkStart w:id="99" w:name="_Toc184312076"/>
      <w:bookmarkEnd w:id="99"/>
      <w:bookmarkStart w:id="100" w:name="_Toc184313297"/>
      <w:bookmarkEnd w:id="100"/>
      <w:bookmarkStart w:id="101" w:name="_Toc184314433"/>
      <w:bookmarkEnd w:id="101"/>
      <w:bookmarkStart w:id="102" w:name="_Toc184312087"/>
      <w:bookmarkEnd w:id="102"/>
      <w:bookmarkStart w:id="103" w:name="_Toc184314474"/>
      <w:bookmarkEnd w:id="103"/>
      <w:bookmarkStart w:id="104" w:name="_Toc184314464"/>
      <w:bookmarkEnd w:id="104"/>
      <w:bookmarkStart w:id="105" w:name="_Toc184313281"/>
      <w:bookmarkEnd w:id="105"/>
      <w:bookmarkStart w:id="106" w:name="_Toc184310296"/>
      <w:bookmarkEnd w:id="106"/>
      <w:bookmarkStart w:id="107" w:name="_Toc184308098"/>
      <w:bookmarkEnd w:id="107"/>
      <w:bookmarkStart w:id="108" w:name="_Toc184310341"/>
      <w:bookmarkEnd w:id="108"/>
      <w:bookmarkStart w:id="109" w:name="_Toc184308080"/>
      <w:bookmarkEnd w:id="109"/>
      <w:bookmarkStart w:id="110" w:name="_Toc184308102"/>
      <w:bookmarkEnd w:id="110"/>
      <w:bookmarkStart w:id="111" w:name="_Toc184308068"/>
      <w:bookmarkEnd w:id="111"/>
      <w:bookmarkStart w:id="112" w:name="_Toc184313242"/>
      <w:bookmarkEnd w:id="112"/>
      <w:bookmarkStart w:id="113" w:name="_Toc184308077"/>
      <w:bookmarkEnd w:id="113"/>
      <w:bookmarkStart w:id="114" w:name="_Toc184312131"/>
      <w:bookmarkEnd w:id="114"/>
      <w:bookmarkStart w:id="115" w:name="_Toc184313246"/>
      <w:bookmarkEnd w:id="115"/>
      <w:bookmarkStart w:id="116" w:name="_Toc184314413"/>
      <w:bookmarkEnd w:id="116"/>
      <w:bookmarkStart w:id="117" w:name="_Toc184314428"/>
      <w:bookmarkEnd w:id="117"/>
      <w:bookmarkStart w:id="118" w:name="_Toc184313245"/>
      <w:bookmarkEnd w:id="118"/>
      <w:bookmarkStart w:id="119" w:name="_Toc184314460"/>
      <w:bookmarkEnd w:id="119"/>
      <w:bookmarkStart w:id="120" w:name="_Toc184308051"/>
      <w:bookmarkEnd w:id="120"/>
      <w:bookmarkStart w:id="121" w:name="_Toc184310291"/>
      <w:bookmarkEnd w:id="121"/>
      <w:bookmarkStart w:id="122" w:name="_Toc184312108"/>
      <w:bookmarkEnd w:id="122"/>
      <w:bookmarkStart w:id="123" w:name="_Toc184312090"/>
      <w:bookmarkEnd w:id="123"/>
      <w:bookmarkStart w:id="124" w:name="_Toc184312112"/>
      <w:bookmarkEnd w:id="124"/>
      <w:bookmarkStart w:id="125" w:name="_Toc184313288"/>
      <w:bookmarkEnd w:id="125"/>
      <w:bookmarkStart w:id="126" w:name="_Toc184310293"/>
      <w:bookmarkEnd w:id="126"/>
      <w:bookmarkStart w:id="127" w:name="_Toc184310329"/>
      <w:bookmarkEnd w:id="127"/>
      <w:bookmarkStart w:id="128" w:name="_Toc184310328"/>
      <w:bookmarkEnd w:id="128"/>
      <w:bookmarkStart w:id="129" w:name="_Toc184308094"/>
      <w:bookmarkEnd w:id="129"/>
      <w:bookmarkStart w:id="130" w:name="_Toc184310285"/>
      <w:bookmarkEnd w:id="130"/>
      <w:bookmarkStart w:id="131" w:name="_Toc184308055"/>
      <w:bookmarkEnd w:id="131"/>
      <w:bookmarkStart w:id="132" w:name="_Toc184308081"/>
      <w:bookmarkEnd w:id="132"/>
      <w:bookmarkStart w:id="133" w:name="_Toc184308038"/>
      <w:bookmarkEnd w:id="133"/>
      <w:bookmarkStart w:id="134" w:name="_Toc184312070"/>
      <w:bookmarkEnd w:id="134"/>
      <w:bookmarkStart w:id="135" w:name="_Toc184312104"/>
      <w:bookmarkEnd w:id="135"/>
      <w:bookmarkStart w:id="136" w:name="_Toc184308103"/>
      <w:bookmarkEnd w:id="136"/>
      <w:bookmarkStart w:id="137" w:name="_Toc184314481"/>
      <w:bookmarkEnd w:id="137"/>
      <w:bookmarkStart w:id="138" w:name="_Toc184310274"/>
      <w:bookmarkEnd w:id="138"/>
      <w:bookmarkStart w:id="139" w:name="_Toc184314473"/>
      <w:bookmarkEnd w:id="139"/>
      <w:bookmarkStart w:id="140" w:name="_Toc184310301"/>
      <w:bookmarkEnd w:id="140"/>
      <w:bookmarkStart w:id="141" w:name="_Toc184312132"/>
      <w:bookmarkEnd w:id="141"/>
      <w:bookmarkStart w:id="142" w:name="_Toc184310339"/>
      <w:bookmarkEnd w:id="142"/>
      <w:bookmarkStart w:id="143" w:name="_Toc184314422"/>
      <w:bookmarkEnd w:id="143"/>
      <w:bookmarkStart w:id="144" w:name="_Toc184314421"/>
      <w:bookmarkEnd w:id="144"/>
      <w:bookmarkStart w:id="145" w:name="_Toc184312078"/>
      <w:bookmarkEnd w:id="145"/>
      <w:bookmarkStart w:id="146" w:name="_Toc184310318"/>
      <w:bookmarkEnd w:id="146"/>
      <w:bookmarkStart w:id="147" w:name="_Toc184312092"/>
      <w:bookmarkEnd w:id="147"/>
      <w:bookmarkStart w:id="148" w:name="_Toc184314459"/>
      <w:bookmarkEnd w:id="148"/>
      <w:bookmarkStart w:id="149" w:name="_Toc184313250"/>
      <w:bookmarkEnd w:id="149"/>
      <w:bookmarkStart w:id="150" w:name="_Toc184314438"/>
      <w:bookmarkEnd w:id="150"/>
      <w:bookmarkStart w:id="151" w:name="_Toc184308069"/>
      <w:bookmarkEnd w:id="151"/>
      <w:bookmarkStart w:id="152" w:name="_Toc184313308"/>
      <w:bookmarkEnd w:id="152"/>
      <w:bookmarkStart w:id="153" w:name="_Toc184313244"/>
      <w:bookmarkEnd w:id="153"/>
      <w:bookmarkStart w:id="154" w:name="_Toc184308084"/>
      <w:bookmarkEnd w:id="154"/>
      <w:bookmarkStart w:id="155" w:name="_Toc184312097"/>
      <w:bookmarkEnd w:id="155"/>
      <w:bookmarkStart w:id="156" w:name="_Toc184314456"/>
      <w:bookmarkEnd w:id="156"/>
      <w:bookmarkStart w:id="157" w:name="_Toc184313277"/>
      <w:bookmarkEnd w:id="157"/>
      <w:bookmarkStart w:id="158" w:name="_Toc184312069"/>
      <w:bookmarkEnd w:id="158"/>
      <w:bookmarkStart w:id="159" w:name="_Toc184314447"/>
      <w:bookmarkEnd w:id="159"/>
      <w:bookmarkStart w:id="160" w:name="_Toc184314414"/>
      <w:bookmarkEnd w:id="160"/>
      <w:bookmarkStart w:id="161" w:name="_Toc184310319"/>
      <w:bookmarkEnd w:id="161"/>
      <w:bookmarkStart w:id="162" w:name="_Toc184310275"/>
      <w:bookmarkEnd w:id="162"/>
      <w:bookmarkStart w:id="163" w:name="_Toc184308065"/>
      <w:bookmarkEnd w:id="163"/>
      <w:bookmarkStart w:id="164" w:name="_Toc184314429"/>
      <w:bookmarkEnd w:id="164"/>
      <w:bookmarkStart w:id="165" w:name="_Toc184312086"/>
      <w:bookmarkEnd w:id="165"/>
      <w:bookmarkStart w:id="166" w:name="_Toc184314424"/>
      <w:bookmarkEnd w:id="166"/>
      <w:bookmarkStart w:id="167" w:name="_Toc184312083"/>
      <w:bookmarkEnd w:id="167"/>
      <w:bookmarkStart w:id="168" w:name="_Toc184313243"/>
      <w:bookmarkEnd w:id="168"/>
      <w:bookmarkStart w:id="169" w:name="_Toc184313253"/>
      <w:bookmarkEnd w:id="169"/>
      <w:bookmarkStart w:id="170" w:name="_Toc184314441"/>
      <w:bookmarkEnd w:id="170"/>
      <w:bookmarkStart w:id="171" w:name="_Toc184314440"/>
      <w:bookmarkEnd w:id="171"/>
      <w:bookmarkStart w:id="172" w:name="_Toc184313286"/>
      <w:bookmarkEnd w:id="172"/>
      <w:bookmarkStart w:id="173" w:name="_Toc184310308"/>
      <w:bookmarkEnd w:id="173"/>
      <w:bookmarkStart w:id="174" w:name="_Toc184313247"/>
      <w:bookmarkEnd w:id="174"/>
      <w:bookmarkStart w:id="175" w:name="_Toc184308091"/>
      <w:bookmarkEnd w:id="175"/>
      <w:bookmarkStart w:id="176" w:name="_Toc184312134"/>
      <w:bookmarkEnd w:id="176"/>
      <w:bookmarkStart w:id="177" w:name="_Toc184310314"/>
      <w:bookmarkEnd w:id="177"/>
      <w:bookmarkStart w:id="178" w:name="_Toc184313267"/>
      <w:bookmarkEnd w:id="178"/>
      <w:bookmarkStart w:id="179" w:name="_Toc184308096"/>
      <w:bookmarkEnd w:id="179"/>
      <w:bookmarkStart w:id="180" w:name="_Toc184314446"/>
      <w:bookmarkEnd w:id="180"/>
      <w:bookmarkStart w:id="181" w:name="_Toc184313278"/>
      <w:bookmarkEnd w:id="181"/>
      <w:bookmarkStart w:id="182" w:name="_Toc184312124"/>
      <w:bookmarkEnd w:id="182"/>
      <w:bookmarkStart w:id="183" w:name="_Toc184313252"/>
      <w:bookmarkEnd w:id="183"/>
      <w:bookmarkStart w:id="184" w:name="_Toc184312082"/>
      <w:bookmarkEnd w:id="184"/>
      <w:bookmarkStart w:id="185" w:name="_Toc184310288"/>
      <w:bookmarkEnd w:id="185"/>
      <w:bookmarkStart w:id="186" w:name="_Toc184313276"/>
      <w:bookmarkEnd w:id="186"/>
      <w:bookmarkStart w:id="187" w:name="_Toc184310290"/>
      <w:bookmarkEnd w:id="187"/>
      <w:bookmarkStart w:id="188" w:name="_Toc184314450"/>
      <w:bookmarkEnd w:id="188"/>
      <w:bookmarkStart w:id="189" w:name="_Toc184313263"/>
      <w:bookmarkEnd w:id="189"/>
      <w:bookmarkStart w:id="190" w:name="_Toc184313265"/>
      <w:bookmarkEnd w:id="190"/>
      <w:bookmarkStart w:id="191" w:name="_Toc184313290"/>
      <w:bookmarkEnd w:id="191"/>
      <w:bookmarkStart w:id="192" w:name="_Toc184312114"/>
      <w:bookmarkEnd w:id="192"/>
      <w:bookmarkStart w:id="193" w:name="_Toc184314451"/>
      <w:bookmarkEnd w:id="193"/>
      <w:bookmarkStart w:id="194" w:name="_Toc184314467"/>
      <w:bookmarkEnd w:id="194"/>
      <w:bookmarkStart w:id="195" w:name="_Toc184314477"/>
      <w:bookmarkEnd w:id="195"/>
      <w:bookmarkStart w:id="196" w:name="_Toc184308104"/>
      <w:bookmarkEnd w:id="196"/>
      <w:bookmarkStart w:id="197" w:name="_Toc184308050"/>
      <w:bookmarkEnd w:id="197"/>
      <w:bookmarkStart w:id="198" w:name="_Toc184312139"/>
      <w:bookmarkEnd w:id="198"/>
      <w:bookmarkStart w:id="199" w:name="_Toc184314453"/>
      <w:bookmarkEnd w:id="199"/>
      <w:bookmarkStart w:id="200" w:name="_Toc184308037"/>
      <w:bookmarkEnd w:id="200"/>
      <w:bookmarkStart w:id="201" w:name="_Toc184312129"/>
      <w:bookmarkEnd w:id="201"/>
      <w:bookmarkStart w:id="202" w:name="_Toc184313257"/>
      <w:bookmarkEnd w:id="202"/>
      <w:bookmarkStart w:id="203" w:name="_Toc184312128"/>
      <w:bookmarkEnd w:id="203"/>
      <w:bookmarkStart w:id="204" w:name="_Toc184313275"/>
      <w:bookmarkEnd w:id="204"/>
      <w:bookmarkStart w:id="205" w:name="_Toc184310312"/>
      <w:bookmarkEnd w:id="205"/>
      <w:bookmarkStart w:id="206" w:name="_Toc184308045"/>
      <w:bookmarkEnd w:id="206"/>
      <w:bookmarkStart w:id="207" w:name="_Toc184310337"/>
      <w:bookmarkEnd w:id="207"/>
      <w:bookmarkStart w:id="208" w:name="_Toc184310310"/>
      <w:bookmarkEnd w:id="208"/>
      <w:bookmarkStart w:id="209" w:name="_Toc184312074"/>
      <w:bookmarkEnd w:id="209"/>
      <w:bookmarkStart w:id="210" w:name="_Toc184312125"/>
      <w:bookmarkEnd w:id="210"/>
      <w:bookmarkStart w:id="211" w:name="_Toc184313307"/>
      <w:bookmarkEnd w:id="211"/>
      <w:bookmarkStart w:id="212" w:name="_Toc184308071"/>
      <w:bookmarkEnd w:id="212"/>
      <w:bookmarkStart w:id="213" w:name="_Toc184312096"/>
      <w:bookmarkEnd w:id="213"/>
      <w:bookmarkStart w:id="214" w:name="_Toc184308048"/>
      <w:bookmarkEnd w:id="214"/>
      <w:bookmarkStart w:id="215" w:name="_Toc184312079"/>
      <w:bookmarkEnd w:id="215"/>
      <w:bookmarkStart w:id="216" w:name="_Toc184308078"/>
      <w:bookmarkEnd w:id="216"/>
      <w:bookmarkStart w:id="217" w:name="_Toc184310294"/>
      <w:bookmarkEnd w:id="217"/>
      <w:bookmarkStart w:id="218" w:name="_Toc184314457"/>
      <w:bookmarkEnd w:id="218"/>
      <w:bookmarkStart w:id="219" w:name="_Toc184308083"/>
      <w:bookmarkEnd w:id="219"/>
      <w:bookmarkStart w:id="220" w:name="_Toc184314452"/>
      <w:bookmarkEnd w:id="220"/>
      <w:bookmarkStart w:id="221" w:name="_Toc184312068"/>
      <w:bookmarkEnd w:id="221"/>
      <w:bookmarkStart w:id="222" w:name="_Toc184314415"/>
      <w:bookmarkEnd w:id="222"/>
      <w:bookmarkStart w:id="223" w:name="_Toc184314469"/>
      <w:bookmarkEnd w:id="223"/>
      <w:bookmarkStart w:id="224" w:name="_Toc184314442"/>
      <w:bookmarkEnd w:id="224"/>
      <w:bookmarkStart w:id="225" w:name="_Toc184310278"/>
      <w:bookmarkEnd w:id="225"/>
      <w:bookmarkStart w:id="226" w:name="_Toc184313306"/>
      <w:bookmarkEnd w:id="226"/>
      <w:bookmarkStart w:id="227" w:name="_Toc184314472"/>
      <w:bookmarkEnd w:id="227"/>
      <w:bookmarkStart w:id="228" w:name="_Toc184312073"/>
      <w:bookmarkEnd w:id="228"/>
      <w:bookmarkStart w:id="229" w:name="_Toc184312133"/>
      <w:bookmarkEnd w:id="229"/>
      <w:bookmarkStart w:id="230" w:name="_Toc184308059"/>
      <w:bookmarkEnd w:id="230"/>
      <w:bookmarkStart w:id="231" w:name="_Toc184313309"/>
      <w:bookmarkEnd w:id="231"/>
      <w:bookmarkStart w:id="232" w:name="_Toc184314412"/>
      <w:bookmarkEnd w:id="232"/>
      <w:bookmarkStart w:id="233" w:name="_Toc184310284"/>
      <w:bookmarkEnd w:id="233"/>
      <w:bookmarkStart w:id="234" w:name="_Toc184312105"/>
      <w:bookmarkEnd w:id="234"/>
      <w:bookmarkStart w:id="235" w:name="_Toc184312095"/>
      <w:bookmarkEnd w:id="235"/>
      <w:bookmarkStart w:id="236" w:name="_Toc184308106"/>
      <w:bookmarkEnd w:id="236"/>
      <w:bookmarkStart w:id="237" w:name="_Toc184308049"/>
      <w:bookmarkEnd w:id="237"/>
      <w:bookmarkStart w:id="238" w:name="_Toc184310313"/>
      <w:bookmarkEnd w:id="238"/>
      <w:bookmarkStart w:id="239" w:name="_Toc184312117"/>
      <w:bookmarkEnd w:id="239"/>
      <w:bookmarkStart w:id="240" w:name="_Toc184310343"/>
      <w:bookmarkEnd w:id="240"/>
      <w:bookmarkStart w:id="241" w:name="_Toc184312109"/>
      <w:bookmarkEnd w:id="241"/>
      <w:bookmarkStart w:id="242" w:name="_Toc184310273"/>
      <w:bookmarkEnd w:id="242"/>
      <w:bookmarkStart w:id="243" w:name="_Toc184313294"/>
      <w:bookmarkEnd w:id="243"/>
      <w:bookmarkStart w:id="244" w:name="_Toc184313293"/>
      <w:bookmarkEnd w:id="244"/>
      <w:bookmarkStart w:id="245" w:name="_Toc184313302"/>
      <w:bookmarkEnd w:id="245"/>
      <w:bookmarkStart w:id="246" w:name="_Toc184313300"/>
      <w:bookmarkEnd w:id="246"/>
      <w:bookmarkStart w:id="247" w:name="_Toc184310302"/>
      <w:bookmarkEnd w:id="247"/>
      <w:bookmarkStart w:id="248" w:name="_Toc184308089"/>
      <w:bookmarkEnd w:id="248"/>
      <w:bookmarkStart w:id="249" w:name="_Toc184310272"/>
      <w:bookmarkEnd w:id="249"/>
      <w:bookmarkStart w:id="250" w:name="_Toc184312120"/>
      <w:bookmarkEnd w:id="250"/>
      <w:bookmarkStart w:id="251" w:name="_Toc184310336"/>
      <w:bookmarkEnd w:id="251"/>
      <w:bookmarkStart w:id="252" w:name="_Toc184313256"/>
      <w:bookmarkEnd w:id="252"/>
      <w:bookmarkStart w:id="253" w:name="_Toc184314432"/>
      <w:bookmarkEnd w:id="253"/>
      <w:bookmarkStart w:id="254" w:name="_Toc184314417"/>
      <w:bookmarkEnd w:id="254"/>
      <w:bookmarkStart w:id="255" w:name="_Toc184313296"/>
      <w:bookmarkEnd w:id="255"/>
      <w:bookmarkStart w:id="256" w:name="_Toc184312138"/>
      <w:bookmarkEnd w:id="256"/>
      <w:bookmarkStart w:id="257" w:name="_Toc184313292"/>
      <w:bookmarkEnd w:id="257"/>
      <w:bookmarkStart w:id="258" w:name="_Toc184314468"/>
      <w:bookmarkEnd w:id="258"/>
      <w:bookmarkStart w:id="259" w:name="_Toc184314454"/>
      <w:bookmarkEnd w:id="259"/>
      <w:bookmarkStart w:id="260" w:name="_Toc184308053"/>
      <w:bookmarkEnd w:id="260"/>
      <w:bookmarkStart w:id="261" w:name="_Toc184310276"/>
      <w:bookmarkEnd w:id="261"/>
      <w:bookmarkStart w:id="262" w:name="_Toc184312072"/>
      <w:bookmarkEnd w:id="262"/>
      <w:bookmarkStart w:id="263" w:name="_Toc184313272"/>
      <w:bookmarkEnd w:id="263"/>
      <w:bookmarkStart w:id="264" w:name="_Toc184310320"/>
      <w:bookmarkEnd w:id="264"/>
      <w:bookmarkStart w:id="265" w:name="_Toc184314465"/>
      <w:bookmarkEnd w:id="265"/>
      <w:bookmarkStart w:id="266" w:name="_Toc184308064"/>
      <w:bookmarkEnd w:id="266"/>
      <w:bookmarkStart w:id="267" w:name="_Toc184313285"/>
      <w:bookmarkEnd w:id="267"/>
      <w:bookmarkStart w:id="268" w:name="_Toc184308097"/>
      <w:bookmarkEnd w:id="268"/>
      <w:bookmarkStart w:id="269" w:name="_Toc184313260"/>
      <w:bookmarkEnd w:id="269"/>
      <w:bookmarkStart w:id="270" w:name="_Toc184314479"/>
      <w:bookmarkEnd w:id="270"/>
      <w:bookmarkStart w:id="271" w:name="_Toc184312093"/>
      <w:bookmarkEnd w:id="271"/>
      <w:bookmarkStart w:id="272" w:name="_Toc184308086"/>
      <w:bookmarkEnd w:id="272"/>
      <w:bookmarkStart w:id="273" w:name="_Toc184310282"/>
      <w:bookmarkEnd w:id="273"/>
      <w:bookmarkStart w:id="274" w:name="_Toc184313240"/>
      <w:bookmarkEnd w:id="274"/>
      <w:bookmarkStart w:id="275" w:name="_Toc184308108"/>
      <w:bookmarkEnd w:id="275"/>
      <w:bookmarkStart w:id="276" w:name="_Toc184308070"/>
      <w:bookmarkEnd w:id="276"/>
      <w:bookmarkStart w:id="277" w:name="_Toc184308074"/>
      <w:bookmarkEnd w:id="277"/>
      <w:bookmarkStart w:id="278" w:name="_Toc184313270"/>
      <w:bookmarkEnd w:id="278"/>
      <w:bookmarkStart w:id="279" w:name="_Toc184314416"/>
      <w:bookmarkEnd w:id="279"/>
      <w:bookmarkStart w:id="280" w:name="_Toc184308092"/>
      <w:bookmarkEnd w:id="280"/>
      <w:bookmarkStart w:id="281" w:name="_Toc184312118"/>
      <w:bookmarkEnd w:id="281"/>
      <w:bookmarkStart w:id="282" w:name="_Toc184313266"/>
      <w:bookmarkEnd w:id="282"/>
      <w:bookmarkStart w:id="283" w:name="_Toc184308042"/>
      <w:bookmarkEnd w:id="283"/>
      <w:bookmarkStart w:id="284" w:name="_Toc184308099"/>
      <w:bookmarkEnd w:id="284"/>
      <w:bookmarkStart w:id="285" w:name="_Toc184310315"/>
      <w:bookmarkEnd w:id="285"/>
      <w:bookmarkStart w:id="286" w:name="_Toc184313279"/>
      <w:bookmarkEnd w:id="286"/>
      <w:bookmarkStart w:id="287" w:name="_Toc184314423"/>
      <w:bookmarkEnd w:id="287"/>
      <w:bookmarkStart w:id="288" w:name="_Toc184308072"/>
      <w:bookmarkEnd w:id="288"/>
      <w:bookmarkStart w:id="289" w:name="_Toc184313274"/>
      <w:bookmarkEnd w:id="289"/>
      <w:bookmarkStart w:id="290" w:name="_Toc184314444"/>
      <w:bookmarkEnd w:id="290"/>
      <w:bookmarkStart w:id="291" w:name="_Toc184314470"/>
      <w:bookmarkEnd w:id="291"/>
      <w:bookmarkStart w:id="292" w:name="_Toc184310317"/>
      <w:bookmarkEnd w:id="292"/>
      <w:bookmarkStart w:id="293" w:name="_Toc184314462"/>
      <w:bookmarkEnd w:id="293"/>
      <w:bookmarkStart w:id="294" w:name="_Toc184314425"/>
      <w:bookmarkEnd w:id="294"/>
      <w:bookmarkStart w:id="295" w:name="_Toc184310325"/>
      <w:bookmarkEnd w:id="295"/>
      <w:bookmarkStart w:id="296" w:name="_Toc184308087"/>
      <w:bookmarkEnd w:id="296"/>
      <w:bookmarkStart w:id="297" w:name="_Toc184308105"/>
      <w:bookmarkEnd w:id="297"/>
      <w:bookmarkStart w:id="298" w:name="_Toc184310277"/>
      <w:bookmarkEnd w:id="298"/>
      <w:bookmarkStart w:id="299" w:name="_Toc184313261"/>
      <w:bookmarkEnd w:id="299"/>
      <w:bookmarkStart w:id="300" w:name="_Toc184314430"/>
      <w:bookmarkEnd w:id="300"/>
      <w:bookmarkStart w:id="301" w:name="_Toc184308036"/>
      <w:bookmarkEnd w:id="301"/>
      <w:bookmarkStart w:id="302" w:name="_Toc184312136"/>
      <w:bookmarkEnd w:id="302"/>
      <w:bookmarkStart w:id="303" w:name="_Toc184308047"/>
      <w:bookmarkEnd w:id="303"/>
      <w:bookmarkStart w:id="304" w:name="_Toc184310322"/>
      <w:bookmarkEnd w:id="304"/>
      <w:bookmarkStart w:id="305" w:name="_Toc184308060"/>
      <w:bookmarkEnd w:id="305"/>
      <w:bookmarkStart w:id="306" w:name="_Toc184312099"/>
      <w:bookmarkEnd w:id="306"/>
      <w:bookmarkStart w:id="307" w:name="_Toc184310295"/>
      <w:bookmarkEnd w:id="307"/>
      <w:bookmarkStart w:id="308" w:name="_Toc184312089"/>
      <w:bookmarkEnd w:id="308"/>
      <w:bookmarkStart w:id="309" w:name="_Toc184310283"/>
      <w:bookmarkEnd w:id="309"/>
      <w:bookmarkStart w:id="310" w:name="_Toc184314436"/>
      <w:bookmarkEnd w:id="310"/>
      <w:bookmarkStart w:id="311" w:name="_Toc184310323"/>
      <w:bookmarkEnd w:id="311"/>
      <w:bookmarkStart w:id="312" w:name="_Toc184310338"/>
      <w:bookmarkEnd w:id="312"/>
      <w:bookmarkStart w:id="313" w:name="_Toc184313299"/>
      <w:bookmarkEnd w:id="313"/>
      <w:bookmarkStart w:id="314" w:name="_Toc184310307"/>
      <w:bookmarkEnd w:id="314"/>
      <w:bookmarkStart w:id="315" w:name="_Toc184308041"/>
      <w:bookmarkEnd w:id="315"/>
      <w:bookmarkStart w:id="316" w:name="_Toc184310332"/>
      <w:bookmarkEnd w:id="316"/>
      <w:bookmarkStart w:id="317" w:name="_Toc184312102"/>
      <w:bookmarkEnd w:id="317"/>
      <w:bookmarkStart w:id="318" w:name="_Toc184308107"/>
      <w:bookmarkEnd w:id="318"/>
      <w:bookmarkStart w:id="319" w:name="_Toc184312123"/>
      <w:bookmarkEnd w:id="319"/>
      <w:bookmarkStart w:id="320" w:name="_Toc184312084"/>
      <w:bookmarkEnd w:id="320"/>
      <w:bookmarkStart w:id="321" w:name="_Toc184308079"/>
      <w:bookmarkEnd w:id="321"/>
      <w:bookmarkStart w:id="322" w:name="_Toc184313255"/>
      <w:bookmarkEnd w:id="322"/>
      <w:bookmarkStart w:id="323" w:name="_Toc184312135"/>
      <w:bookmarkEnd w:id="323"/>
      <w:bookmarkStart w:id="324" w:name="_Toc184312115"/>
      <w:bookmarkEnd w:id="324"/>
      <w:bookmarkStart w:id="325" w:name="_Toc184313259"/>
      <w:bookmarkEnd w:id="325"/>
      <w:bookmarkStart w:id="326" w:name="_Toc184314445"/>
      <w:bookmarkEnd w:id="326"/>
      <w:bookmarkStart w:id="327" w:name="_Toc184314463"/>
      <w:bookmarkEnd w:id="327"/>
      <w:bookmarkStart w:id="328" w:name="_Toc184308052"/>
      <w:bookmarkEnd w:id="328"/>
      <w:bookmarkStart w:id="329" w:name="_Toc184313289"/>
      <w:bookmarkEnd w:id="329"/>
      <w:bookmarkStart w:id="330" w:name="_Toc184308082"/>
      <w:bookmarkEnd w:id="330"/>
      <w:bookmarkStart w:id="331" w:name="_Toc184313264"/>
      <w:bookmarkEnd w:id="331"/>
      <w:bookmarkStart w:id="332" w:name="_Toc184312121"/>
      <w:bookmarkEnd w:id="332"/>
      <w:bookmarkStart w:id="333" w:name="_Toc184314431"/>
      <w:bookmarkEnd w:id="333"/>
      <w:bookmarkStart w:id="334" w:name="_Toc184312094"/>
      <w:bookmarkEnd w:id="334"/>
      <w:bookmarkStart w:id="335" w:name="_Toc184310330"/>
      <w:bookmarkEnd w:id="335"/>
      <w:bookmarkStart w:id="336" w:name="_Toc184312071"/>
      <w:bookmarkEnd w:id="336"/>
      <w:bookmarkStart w:id="337" w:name="_Toc184313305"/>
      <w:bookmarkEnd w:id="337"/>
      <w:bookmarkStart w:id="338" w:name="_Toc184314466"/>
      <w:bookmarkEnd w:id="338"/>
      <w:bookmarkStart w:id="339" w:name="_Toc184313295"/>
      <w:bookmarkEnd w:id="339"/>
      <w:bookmarkStart w:id="340" w:name="_Toc184308058"/>
      <w:bookmarkEnd w:id="340"/>
      <w:bookmarkStart w:id="341" w:name="_Toc184314448"/>
      <w:bookmarkEnd w:id="341"/>
      <w:bookmarkStart w:id="342" w:name="_Toc184310292"/>
      <w:bookmarkEnd w:id="342"/>
      <w:bookmarkStart w:id="343" w:name="_Toc184314437"/>
      <w:bookmarkEnd w:id="343"/>
      <w:bookmarkStart w:id="344" w:name="_Toc184308090"/>
      <w:bookmarkEnd w:id="344"/>
      <w:bookmarkStart w:id="345" w:name="_Toc184310324"/>
      <w:bookmarkEnd w:id="345"/>
      <w:bookmarkStart w:id="346" w:name="_Toc184313280"/>
      <w:bookmarkEnd w:id="346"/>
      <w:bookmarkStart w:id="347" w:name="_Toc184308039"/>
      <w:bookmarkEnd w:id="347"/>
      <w:bookmarkStart w:id="348" w:name="_Toc184313248"/>
      <w:bookmarkEnd w:id="348"/>
      <w:bookmarkStart w:id="349" w:name="_Toc184310340"/>
      <w:bookmarkEnd w:id="349"/>
      <w:bookmarkStart w:id="350" w:name="_Toc184312106"/>
      <w:bookmarkEnd w:id="350"/>
      <w:bookmarkStart w:id="351" w:name="_Toc184308057"/>
      <w:bookmarkEnd w:id="351"/>
      <w:bookmarkStart w:id="352" w:name="_Toc184308056"/>
      <w:bookmarkEnd w:id="352"/>
      <w:bookmarkStart w:id="353" w:name="_Toc184314439"/>
      <w:bookmarkEnd w:id="353"/>
      <w:bookmarkStart w:id="354" w:name="_Toc184310305"/>
      <w:bookmarkEnd w:id="354"/>
      <w:bookmarkStart w:id="355" w:name="_Toc184314455"/>
      <w:bookmarkEnd w:id="355"/>
      <w:bookmarkStart w:id="356" w:name="_Toc184308046"/>
      <w:bookmarkEnd w:id="356"/>
      <w:bookmarkStart w:id="357" w:name="_Toc184313284"/>
      <w:bookmarkEnd w:id="357"/>
      <w:bookmarkStart w:id="358" w:name="_Toc184314427"/>
      <w:bookmarkEnd w:id="358"/>
      <w:bookmarkStart w:id="359" w:name="_Toc184314458"/>
      <w:bookmarkEnd w:id="359"/>
      <w:bookmarkStart w:id="360" w:name="_Toc184310303"/>
      <w:bookmarkEnd w:id="360"/>
      <w:bookmarkStart w:id="361" w:name="_Toc184310286"/>
      <w:bookmarkEnd w:id="361"/>
      <w:bookmarkStart w:id="362" w:name="_Toc184313310"/>
      <w:bookmarkEnd w:id="362"/>
      <w:bookmarkStart w:id="363" w:name="_Toc184310342"/>
      <w:bookmarkEnd w:id="363"/>
      <w:bookmarkStart w:id="364" w:name="_Toc184310321"/>
      <w:bookmarkEnd w:id="364"/>
      <w:bookmarkStart w:id="365" w:name="_Toc184310299"/>
      <w:bookmarkEnd w:id="365"/>
      <w:bookmarkStart w:id="366" w:name="_Toc184312113"/>
      <w:bookmarkEnd w:id="366"/>
      <w:bookmarkStart w:id="367" w:name="_Toc184314443"/>
      <w:bookmarkEnd w:id="367"/>
      <w:bookmarkStart w:id="368" w:name="_Toc184308100"/>
      <w:bookmarkEnd w:id="368"/>
      <w:bookmarkStart w:id="369" w:name="_Toc184314410"/>
      <w:bookmarkEnd w:id="369"/>
      <w:bookmarkStart w:id="370" w:name="_Toc184310300"/>
      <w:bookmarkEnd w:id="370"/>
      <w:bookmarkStart w:id="371" w:name="_Toc184310304"/>
      <w:bookmarkEnd w:id="371"/>
      <w:bookmarkStart w:id="372" w:name="_Toc184312077"/>
      <w:bookmarkEnd w:id="372"/>
      <w:bookmarkStart w:id="373" w:name="_Toc184310297"/>
      <w:bookmarkEnd w:id="373"/>
      <w:bookmarkStart w:id="374" w:name="_Toc184313271"/>
      <w:bookmarkEnd w:id="374"/>
      <w:bookmarkStart w:id="375" w:name="_Toc184314449"/>
      <w:bookmarkEnd w:id="375"/>
      <w:bookmarkStart w:id="376" w:name="_Toc184312075"/>
      <w:bookmarkEnd w:id="376"/>
      <w:bookmarkStart w:id="377" w:name="_Toc184314418"/>
      <w:bookmarkEnd w:id="377"/>
      <w:bookmarkStart w:id="378" w:name="_Toc184310333"/>
      <w:bookmarkEnd w:id="378"/>
      <w:bookmarkStart w:id="379" w:name="_Toc184308095"/>
      <w:bookmarkEnd w:id="379"/>
      <w:bookmarkStart w:id="380" w:name="_Toc184312111"/>
      <w:bookmarkEnd w:id="380"/>
      <w:bookmarkStart w:id="381" w:name="_Toc184312081"/>
      <w:bookmarkEnd w:id="381"/>
      <w:bookmarkStart w:id="382" w:name="_Toc184313249"/>
      <w:bookmarkEnd w:id="382"/>
      <w:bookmarkStart w:id="383" w:name="_Toc184312101"/>
      <w:bookmarkEnd w:id="383"/>
      <w:bookmarkStart w:id="384" w:name="_Toc184310326"/>
      <w:bookmarkEnd w:id="384"/>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8"/>
        <w:ind w:firstLine="480" w:firstLineChars="200"/>
        <w:rPr>
          <w:highlight w:val="none"/>
        </w:rPr>
      </w:pPr>
      <w:r>
        <w:rPr>
          <w:highlight w:val="none"/>
          <w:lang w:val="en-US"/>
        </w:rPr>
        <w:t>1.1</w:t>
      </w:r>
      <w:r>
        <w:rPr>
          <w:rFonts w:hint="eastAsia"/>
          <w:highlight w:val="none"/>
        </w:rPr>
        <w:t>若出现税率不一致的情况，以除税总金额相对比。</w:t>
      </w:r>
    </w:p>
    <w:p>
      <w:pPr>
        <w:pStyle w:val="8"/>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8"/>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4"/>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5"/>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2025年-2026年液动阀门采购项目（第三次）</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8"/>
      </w:pPr>
    </w:p>
    <w:p>
      <w:pPr>
        <w:pStyle w:val="16"/>
      </w:pPr>
    </w:p>
    <w:p/>
    <w:p>
      <w:pPr>
        <w:pStyle w:val="8"/>
      </w:pPr>
    </w:p>
    <w:p>
      <w:pPr>
        <w:pStyle w:val="16"/>
      </w:pPr>
    </w:p>
    <w:p/>
    <w:p>
      <w:pPr>
        <w:pStyle w:val="8"/>
      </w:pPr>
    </w:p>
    <w:p>
      <w:pPr>
        <w:pStyle w:val="16"/>
      </w:pPr>
    </w:p>
    <w:p/>
    <w:p>
      <w:pPr>
        <w:pStyle w:val="8"/>
      </w:pPr>
    </w:p>
    <w:p>
      <w:pPr>
        <w:pStyle w:val="16"/>
      </w:pPr>
    </w:p>
    <w:p/>
    <w:p>
      <w:pPr>
        <w:pStyle w:val="8"/>
      </w:pPr>
    </w:p>
    <w:p>
      <w:pPr>
        <w:pStyle w:val="16"/>
      </w:pPr>
    </w:p>
    <w:p/>
    <w:p>
      <w:pPr>
        <w:pStyle w:val="8"/>
      </w:pPr>
    </w:p>
    <w:p>
      <w:pPr>
        <w:pStyle w:val="25"/>
        <w:ind w:left="0" w:leftChars="0" w:firstLine="0" w:firstLineChars="0"/>
        <w:rPr>
          <w:rFonts w:ascii="宋体" w:hAnsi="宋体" w:cs="宋体"/>
          <w:b/>
          <w:szCs w:val="24"/>
        </w:rPr>
      </w:pPr>
    </w:p>
    <w:p>
      <w:pPr>
        <w:pStyle w:val="16"/>
        <w:jc w:val="center"/>
        <w:rPr>
          <w:rFonts w:eastAsia="宋体"/>
          <w:b/>
          <w:bCs/>
        </w:rPr>
      </w:pPr>
      <w:r>
        <w:rPr>
          <w:rFonts w:hint="eastAsia"/>
          <w:b/>
          <w:bCs/>
        </w:rPr>
        <w:t>目录</w:t>
      </w:r>
    </w:p>
    <w:p>
      <w:pPr>
        <w:pStyle w:val="9"/>
        <w:spacing w:line="360" w:lineRule="auto"/>
        <w:ind w:firstLine="240" w:firstLineChars="100"/>
      </w:pPr>
      <w:r>
        <w:rPr>
          <w:rFonts w:hint="eastAsia"/>
        </w:rPr>
        <w:t>第一章 合同书  ……………………………………………………………（页码）</w:t>
      </w:r>
    </w:p>
    <w:p>
      <w:pPr>
        <w:pStyle w:val="9"/>
        <w:spacing w:line="360" w:lineRule="auto"/>
        <w:ind w:firstLine="240" w:firstLineChars="100"/>
      </w:pPr>
      <w:r>
        <w:rPr>
          <w:rFonts w:hint="eastAsia"/>
        </w:rPr>
        <w:t>第二章 合同一般条款………………………………………………………（页码）</w:t>
      </w:r>
    </w:p>
    <w:p>
      <w:pPr>
        <w:pStyle w:val="9"/>
        <w:spacing w:line="360" w:lineRule="auto"/>
        <w:ind w:firstLine="240" w:firstLineChars="100"/>
      </w:pPr>
      <w:r>
        <w:rPr>
          <w:rFonts w:hint="eastAsia"/>
        </w:rPr>
        <w:t>第三章</w:t>
      </w:r>
      <w:r>
        <w:rPr>
          <w:rFonts w:hint="eastAsia"/>
          <w:lang w:val="en-US" w:eastAsia="zh-CN"/>
        </w:rPr>
        <w:t xml:space="preserve"> </w:t>
      </w:r>
      <w:r>
        <w:rPr>
          <w:rFonts w:hint="eastAsia"/>
        </w:rPr>
        <w:t>廉洁协议……………………………………………………………（页码）</w:t>
      </w:r>
    </w:p>
    <w:p>
      <w:pPr>
        <w:pStyle w:val="9"/>
        <w:spacing w:line="360" w:lineRule="auto"/>
        <w:ind w:firstLine="240" w:firstLineChars="100"/>
        <w:rPr>
          <w:rFonts w:hint="eastAsia"/>
        </w:rPr>
      </w:pPr>
    </w:p>
    <w:p>
      <w:pPr>
        <w:pStyle w:val="25"/>
        <w:rPr>
          <w:rFonts w:ascii="宋体" w:hAnsi="宋体" w:cs="宋体"/>
          <w:szCs w:val="24"/>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25"/>
        <w:ind w:left="0" w:leftChars="0" w:firstLine="0" w:firstLineChars="0"/>
        <w:jc w:val="both"/>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2025年-2026年液动阀门采购项目（第三次）</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5" w:name="_Toc3029"/>
      <w:bookmarkStart w:id="386" w:name="_Toc2232"/>
      <w:bookmarkStart w:id="387" w:name="_Toc24059"/>
      <w:r>
        <w:rPr>
          <w:rFonts w:hint="eastAsia" w:ascii="宋体" w:hAnsi="宋体" w:cs="宋体"/>
          <w:b/>
          <w:sz w:val="24"/>
        </w:rPr>
        <w:t>一、合同组成部分</w:t>
      </w:r>
      <w:bookmarkEnd w:id="385"/>
      <w:bookmarkEnd w:id="386"/>
      <w:bookmarkEnd w:id="387"/>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8" w:name="_Toc24300"/>
      <w:bookmarkStart w:id="389" w:name="_Toc21295"/>
      <w:bookmarkStart w:id="390" w:name="_Toc27126"/>
      <w:r>
        <w:rPr>
          <w:rFonts w:hint="eastAsia" w:ascii="宋体" w:hAnsi="宋体" w:cs="宋体"/>
          <w:b/>
          <w:sz w:val="24"/>
        </w:rPr>
        <w:t xml:space="preserve">二、 </w:t>
      </w:r>
      <w:bookmarkEnd w:id="388"/>
      <w:bookmarkEnd w:id="389"/>
      <w:bookmarkEnd w:id="390"/>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6"/>
        <w:spacing w:before="0" w:beforeAutospacing="0" w:after="0" w:afterAutospacing="0" w:line="360" w:lineRule="auto"/>
        <w:ind w:firstLine="480"/>
        <w:rPr>
          <w:strike/>
          <w:dstrike w:val="0"/>
          <w:color w:val="FF0000"/>
        </w:rPr>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rFonts w:hint="eastAsia"/>
          <w:color w:val="auto"/>
          <w:u w:val="single"/>
        </w:rPr>
        <w:t xml:space="preserve"> </w:t>
      </w:r>
      <w:r>
        <w:rPr>
          <w:color w:val="auto"/>
          <w:u w:val="single"/>
        </w:rPr>
        <w:sym w:font="Wingdings" w:char="00FE"/>
      </w:r>
      <w:r>
        <w:rPr>
          <w:rFonts w:hint="eastAsia"/>
          <w:color w:val="auto"/>
          <w:u w:val="single"/>
        </w:rPr>
        <w:t>否</w:t>
      </w:r>
      <w:r>
        <w:rPr>
          <w:rFonts w:hint="eastAsia"/>
          <w:color w:val="4874CB" w:themeColor="accent1"/>
          <w:u w:val="single"/>
          <w14:textFill>
            <w14:solidFill>
              <w14:schemeClr w14:val="accent1"/>
            </w14:solidFill>
          </w14:textFill>
        </w:rPr>
        <w:t xml:space="preserve"> </w:t>
      </w:r>
      <w:r>
        <w:rPr>
          <w:rFonts w:hint="eastAsia"/>
          <w:bCs/>
        </w:rPr>
        <w:t>需要乙方安装。</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1204"/>
        <w:gridCol w:w="1454"/>
        <w:gridCol w:w="2713"/>
        <w:gridCol w:w="674"/>
        <w:gridCol w:w="749"/>
        <w:gridCol w:w="879"/>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暂定数量</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料斗挡板阀组</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385611-103020（DRAWING  NO.129F0100DWG/18)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推料器阀组</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385620-063030（DRAWING  NO.129F0200DWG/18)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炉排阀组</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385670-063060 （DRAWING  NO.129F0300DWG/18)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出渣机阀组</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385610-103010 （DRAWING  NO.129F0400DWG/18)</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3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line="360" w:lineRule="auto"/>
        <w:rPr>
          <w:rFonts w:hint="eastAsia" w:ascii="宋体" w:hAnsi="宋体" w:cs="宋体" w:eastAsiaTheme="minorEastAsia"/>
          <w:sz w:val="24"/>
          <w:lang w:eastAsia="zh-CN"/>
        </w:rPr>
      </w:pPr>
    </w:p>
    <w:p>
      <w:pPr>
        <w:shd w:val="clear"/>
        <w:spacing w:line="360" w:lineRule="auto"/>
        <w:ind w:firstLine="480" w:firstLineChars="200"/>
        <w:rPr>
          <w:rFonts w:ascii="宋体" w:hAnsi="宋体" w:cs="宋体"/>
          <w:sz w:val="24"/>
        </w:rPr>
      </w:pPr>
      <w:bookmarkStart w:id="391" w:name="_Toc1814"/>
      <w:bookmarkStart w:id="392" w:name="_Toc22618"/>
      <w:bookmarkStart w:id="393" w:name="_Toc10340"/>
      <w:r>
        <w:rPr>
          <w:rFonts w:hint="eastAsia" w:ascii="宋体" w:hAnsi="宋体" w:cs="宋体"/>
          <w:sz w:val="24"/>
        </w:rPr>
        <w:t>4.货物数量</w:t>
      </w:r>
      <w:r>
        <w:rPr>
          <w:rFonts w:hint="eastAsia" w:ascii="宋体" w:hAnsi="宋体" w:cs="宋体"/>
          <w:sz w:val="24"/>
          <w:u w:val="single"/>
        </w:rPr>
        <w:t>：按</w:t>
      </w:r>
      <w:r>
        <w:rPr>
          <w:rFonts w:hint="eastAsia" w:ascii="宋体" w:hAnsi="宋体" w:cs="宋体"/>
          <w:sz w:val="24"/>
          <w:u w:val="single"/>
          <w:lang w:val="en-US" w:eastAsia="zh-CN"/>
        </w:rPr>
        <w:t>采购订单</w:t>
      </w:r>
      <w:r>
        <w:rPr>
          <w:rFonts w:hint="eastAsia" w:ascii="宋体" w:hAnsi="宋体" w:cs="宋体"/>
          <w:sz w:val="24"/>
          <w:u w:val="single"/>
        </w:rPr>
        <w:t>供货，按</w:t>
      </w:r>
      <w:r>
        <w:rPr>
          <w:rFonts w:hint="eastAsia" w:ascii="宋体" w:hAnsi="宋体" w:cs="宋体"/>
          <w:sz w:val="24"/>
          <w:u w:val="single"/>
          <w:lang w:val="en-US" w:eastAsia="zh-CN"/>
        </w:rPr>
        <w:t>实际到货数量</w:t>
      </w:r>
      <w:r>
        <w:rPr>
          <w:rFonts w:hint="eastAsia" w:ascii="宋体" w:hAnsi="宋体" w:cs="宋体"/>
          <w:sz w:val="24"/>
          <w:u w:val="single"/>
        </w:rPr>
        <w:t>结算；合同清单数量仅为甲方暂定数量，乙方须按照甲方的采购订单数量供货，不得以超过合同暂定数量为由停止供货。</w:t>
      </w:r>
    </w:p>
    <w:p>
      <w:pPr>
        <w:pStyle w:val="26"/>
        <w:spacing w:before="0" w:beforeAutospacing="0" w:after="0" w:afterAutospacing="0" w:line="360" w:lineRule="auto"/>
        <w:ind w:firstLine="480"/>
        <w:rPr>
          <w:b/>
        </w:rPr>
      </w:pPr>
      <w:r>
        <w:rPr>
          <w:rFonts w:hint="eastAsia"/>
          <w:b/>
        </w:rPr>
        <w:t>三、合同</w:t>
      </w:r>
      <w:r>
        <w:rPr>
          <w:rFonts w:hint="eastAsia"/>
          <w:b/>
          <w:lang w:val="en-US" w:eastAsia="zh-CN"/>
        </w:rPr>
        <w:t>供货</w:t>
      </w:r>
      <w:r>
        <w:rPr>
          <w:rFonts w:hint="eastAsia"/>
          <w:b/>
        </w:rPr>
        <w:t>期限、货物交付期限、地点和联系方式、交付方式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w:t>
      </w:r>
      <w:r>
        <w:rPr>
          <w:rFonts w:hint="eastAsia" w:ascii="宋体" w:hAnsi="宋体" w:cs="宋体"/>
          <w:color w:val="auto"/>
          <w:sz w:val="24"/>
          <w:lang w:val="en-US" w:eastAsia="zh-CN"/>
        </w:rPr>
        <w:t>供货</w:t>
      </w:r>
      <w:r>
        <w:rPr>
          <w:rFonts w:hint="eastAsia" w:ascii="宋体" w:hAnsi="宋体" w:cs="宋体"/>
          <w:color w:val="auto"/>
          <w:sz w:val="24"/>
        </w:rPr>
        <w:t>期限：</w:t>
      </w:r>
    </w:p>
    <w:p>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☑自合同签订后一次性供货结束自动终止；</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2.交付期限：</w:t>
      </w:r>
      <w:r>
        <w:rPr>
          <w:rFonts w:hint="eastAsia" w:ascii="宋体" w:hAnsi="宋体" w:cs="宋体"/>
          <w:color w:val="auto"/>
          <w:sz w:val="24"/>
          <w:u w:val="single"/>
          <w:lang w:val="en-US" w:eastAsia="zh-CN"/>
        </w:rPr>
        <w:t>乙方在收到甲方采购订单后90天内完成供货，若因报关等因素，可适当顺延，但最长不能超过180天</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3.交付地点：</w:t>
      </w:r>
      <w:r>
        <w:rPr>
          <w:rFonts w:hint="eastAsia" w:ascii="宋体" w:hAnsi="宋体" w:cs="宋体"/>
          <w:color w:val="auto"/>
          <w:sz w:val="24"/>
          <w:u w:val="none"/>
        </w:rPr>
        <w:t>浙江省杭州市钱塘区临江街道红十五路10388-123号，杭州临江环境能源有限公司厂区内</w:t>
      </w:r>
      <w:r>
        <w:rPr>
          <w:rFonts w:hint="eastAsia" w:ascii="宋体" w:hAnsi="宋体" w:cs="宋体"/>
          <w:color w:val="auto"/>
          <w:sz w:val="24"/>
          <w:u w:val="none"/>
          <w:lang w:val="en-US" w:eastAsia="zh-CN"/>
        </w:rPr>
        <w:t>甲方指定仓库</w:t>
      </w:r>
      <w:r>
        <w:rPr>
          <w:rFonts w:hint="eastAsia" w:ascii="宋体" w:hAnsi="宋体" w:cs="宋体"/>
          <w:color w:val="auto"/>
          <w:sz w:val="24"/>
          <w:u w:val="none"/>
        </w:rPr>
        <w:t>；</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4.交付甲方联系人：</w:t>
      </w:r>
      <w:r>
        <w:rPr>
          <w:rFonts w:hint="eastAsia" w:ascii="宋体" w:hAnsi="宋体" w:cs="宋体"/>
          <w:color w:val="auto"/>
          <w:sz w:val="24"/>
          <w:u w:val="none"/>
        </w:rPr>
        <w:t>按采购订单要求执行 ；</w:t>
      </w:r>
    </w:p>
    <w:p>
      <w:pPr>
        <w:spacing w:line="360" w:lineRule="auto"/>
        <w:ind w:firstLine="480" w:firstLineChars="200"/>
        <w:outlineLvl w:val="0"/>
        <w:rPr>
          <w:color w:val="auto"/>
        </w:rPr>
      </w:pPr>
      <w:r>
        <w:rPr>
          <w:rFonts w:hint="eastAsia" w:ascii="宋体" w:hAnsi="宋体" w:cs="宋体"/>
          <w:color w:val="auto"/>
          <w:sz w:val="24"/>
        </w:rPr>
        <w:t>5.乙方联系人及联系方式：</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6.交付方式：</w:t>
      </w:r>
      <w:r>
        <w:rPr>
          <w:rFonts w:hint="eastAsia" w:ascii="宋体" w:hAnsi="宋体" w:cs="宋体"/>
          <w:color w:val="auto"/>
          <w:sz w:val="24"/>
          <w:u w:val="none"/>
        </w:rPr>
        <w:t xml:space="preserve"> 按采购订单要求执行 ，基本要求如下： </w:t>
      </w:r>
    </w:p>
    <w:p>
      <w:pPr>
        <w:spacing w:line="360" w:lineRule="auto"/>
        <w:ind w:firstLine="480" w:firstLineChars="200"/>
        <w:rPr>
          <w:rFonts w:ascii="宋体" w:hAnsi="宋体" w:cs="宋体"/>
          <w:color w:val="auto"/>
          <w:sz w:val="24"/>
        </w:rPr>
      </w:pPr>
      <w:r>
        <w:rPr>
          <w:rFonts w:hint="eastAsia" w:ascii="宋体" w:hAnsi="宋体" w:cs="宋体"/>
          <w:color w:val="auto"/>
          <w:sz w:val="24"/>
        </w:rPr>
        <w:t>（1）推荐乙方安排自有员工送货到甲方指定地点；</w:t>
      </w:r>
    </w:p>
    <w:p>
      <w:pPr>
        <w:spacing w:line="360" w:lineRule="auto"/>
        <w:ind w:firstLine="480" w:firstLineChars="200"/>
        <w:rPr>
          <w:rFonts w:ascii="宋体" w:hAnsi="宋体" w:cs="宋体"/>
          <w:color w:val="auto"/>
          <w:sz w:val="24"/>
        </w:rPr>
      </w:pPr>
      <w:r>
        <w:rPr>
          <w:rFonts w:hint="eastAsia" w:ascii="宋体" w:hAnsi="宋体" w:cs="宋体"/>
          <w:color w:val="auto"/>
          <w:sz w:val="24"/>
        </w:rPr>
        <w:t>（2）乙方委托物流公司交货的，乙方应提前告知甲方经办人员，同时须授权物流人员办理交货、验收、退换货等事宜。</w:t>
      </w:r>
    </w:p>
    <w:p>
      <w:pPr>
        <w:spacing w:line="360" w:lineRule="auto"/>
        <w:ind w:firstLine="480" w:firstLineChars="200"/>
        <w:rPr>
          <w:b/>
          <w:color w:val="auto"/>
        </w:rPr>
      </w:pPr>
      <w:r>
        <w:rPr>
          <w:rFonts w:hint="eastAsia" w:ascii="宋体" w:hAnsi="宋体" w:cs="宋体"/>
          <w:color w:val="auto"/>
          <w:sz w:val="24"/>
        </w:rPr>
        <w:t>（3）特殊情况下，双方友好协商解决。</w:t>
      </w:r>
    </w:p>
    <w:p>
      <w:pPr>
        <w:pStyle w:val="26"/>
        <w:spacing w:before="0" w:beforeAutospacing="0" w:after="0" w:afterAutospacing="0" w:line="360" w:lineRule="auto"/>
        <w:ind w:firstLine="480"/>
        <w:rPr>
          <w:b/>
          <w:color w:val="auto"/>
        </w:rPr>
      </w:pPr>
      <w:r>
        <w:rPr>
          <w:rFonts w:hint="eastAsia"/>
          <w:b/>
          <w:color w:val="auto"/>
        </w:rPr>
        <w:t>四、技术和质量要求</w:t>
      </w:r>
    </w:p>
    <w:p>
      <w:pPr>
        <w:pStyle w:val="8"/>
        <w:ind w:firstLine="480" w:firstLineChars="200"/>
        <w:rPr>
          <w:rFonts w:hint="eastAsia" w:ascii="宋体"/>
          <w:color w:val="auto"/>
          <w:highlight w:val="none"/>
          <w:lang w:val="en-US" w:eastAsia="zh-CN"/>
        </w:rPr>
      </w:pPr>
      <w:bookmarkStart w:id="394" w:name="_Toc14563"/>
      <w:bookmarkStart w:id="395" w:name="_Toc6596"/>
      <w:bookmarkStart w:id="396" w:name="_Toc1125"/>
      <w:r>
        <w:rPr>
          <w:rFonts w:hint="eastAsia" w:ascii="宋体"/>
          <w:color w:val="auto"/>
          <w:highlight w:val="none"/>
          <w:lang w:val="en-US" w:eastAsia="zh-CN"/>
        </w:rPr>
        <w:t>1.</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8"/>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w:t>
      </w:r>
      <w:r>
        <w:rPr>
          <w:rFonts w:hint="eastAsia" w:ascii="宋体" w:hAnsi="宋体" w:eastAsia="宋体" w:cs="宋体"/>
          <w:color w:val="auto"/>
          <w:kern w:val="0"/>
          <w:sz w:val="24"/>
          <w:szCs w:val="24"/>
          <w:lang w:bidi="ar"/>
        </w:rPr>
        <w:t>伊顿</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VICKERS  EATON</w:t>
      </w:r>
      <w:r>
        <w:rPr>
          <w:rFonts w:hint="eastAsia" w:ascii="宋体" w:hAnsi="宋体" w:eastAsia="宋体" w:cs="宋体"/>
          <w:color w:val="auto"/>
          <w:kern w:val="0"/>
          <w:sz w:val="24"/>
          <w:szCs w:val="24"/>
          <w:lang w:eastAsia="zh-CN" w:bidi="ar"/>
        </w:rPr>
        <w:t>）</w:t>
      </w:r>
      <w:r>
        <w:rPr>
          <w:rFonts w:hint="eastAsia"/>
          <w:color w:val="auto"/>
          <w:highlight w:val="none"/>
          <w:lang w:val="en-US" w:eastAsia="zh-CN"/>
        </w:rPr>
        <w:t>原装全新</w:t>
      </w:r>
      <w:r>
        <w:rPr>
          <w:rFonts w:hint="eastAsia" w:ascii="宋体"/>
          <w:color w:val="auto"/>
          <w:highlight w:val="none"/>
          <w:lang w:val="en-US" w:eastAsia="zh-CN"/>
        </w:rPr>
        <w:t>正品，不得为假冒伪劣</w:t>
      </w:r>
      <w:r>
        <w:rPr>
          <w:rFonts w:hint="eastAsia"/>
          <w:color w:val="auto"/>
          <w:highlight w:val="none"/>
          <w:lang w:val="en-US" w:eastAsia="zh-CN"/>
        </w:rPr>
        <w:t>或翻新</w:t>
      </w:r>
      <w:r>
        <w:rPr>
          <w:rFonts w:hint="eastAsia" w:ascii="宋体"/>
          <w:color w:val="auto"/>
          <w:highlight w:val="none"/>
          <w:lang w:val="en-US" w:eastAsia="zh-CN"/>
        </w:rPr>
        <w:t>产品。</w:t>
      </w:r>
    </w:p>
    <w:p>
      <w:pPr>
        <w:pStyle w:val="8"/>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货物的质保期自验收合格后12个月，若质保期内出现质量问题（非质量问题除外），由乙方负责免费维修或更换，产生的费用全部由供应商承担。费维修或更换后配件重新计算质保期。</w:t>
      </w:r>
    </w:p>
    <w:p>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五、服务要求</w:t>
      </w:r>
    </w:p>
    <w:p>
      <w:pPr>
        <w:pStyle w:val="8"/>
        <w:numPr>
          <w:ilvl w:val="0"/>
          <w:numId w:val="0"/>
        </w:numPr>
        <w:ind w:firstLine="480" w:firstLineChars="200"/>
        <w:rPr>
          <w:rFonts w:hint="default"/>
          <w:u w:val="none"/>
          <w:lang w:val="en-US" w:eastAsia="zh-CN"/>
        </w:rPr>
      </w:pPr>
      <w:r>
        <w:rPr>
          <w:rFonts w:hint="eastAsia"/>
          <w:u w:val="none"/>
          <w:lang w:val="en-US"/>
        </w:rPr>
        <w:t>1.</w:t>
      </w:r>
      <w:r>
        <w:rPr>
          <w:rFonts w:hint="eastAsia"/>
          <w:u w:val="none"/>
          <w:lang w:val="en-US" w:eastAsia="zh-CN"/>
        </w:rPr>
        <w:t>送货批次：</w:t>
      </w:r>
      <w:r>
        <w:rPr>
          <w:rFonts w:hint="eastAsia"/>
          <w:lang w:val="en-US"/>
        </w:rPr>
        <w:t>根据</w:t>
      </w:r>
      <w:r>
        <w:rPr>
          <w:rFonts w:hint="eastAsia"/>
          <w:lang w:val="en-US" w:eastAsia="zh-CN"/>
        </w:rPr>
        <w:t>甲方订单要求。</w:t>
      </w:r>
    </w:p>
    <w:p>
      <w:pPr>
        <w:pStyle w:val="8"/>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8"/>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8"/>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4"/>
      <w:bookmarkEnd w:id="395"/>
      <w:bookmarkEnd w:id="396"/>
      <w:r>
        <w:rPr>
          <w:rFonts w:hint="eastAsia" w:ascii="宋体" w:hAnsi="宋体" w:cs="宋体"/>
          <w:b/>
          <w:sz w:val="24"/>
          <w:lang w:val="en-US" w:eastAsia="zh-CN"/>
        </w:rPr>
        <w:t>验收方式及要求</w:t>
      </w:r>
    </w:p>
    <w:p>
      <w:pPr>
        <w:pStyle w:val="8"/>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w:t>
      </w:r>
      <w:r>
        <w:rPr>
          <w:rFonts w:hint="eastAsia" w:ascii="宋体" w:hAnsi="宋体" w:cs="宋体"/>
          <w:sz w:val="24"/>
          <w:lang w:eastAsia="zh-CN"/>
        </w:rPr>
        <w:t>（</w:t>
      </w:r>
      <w:r>
        <w:rPr>
          <w:rFonts w:hint="eastAsia" w:ascii="宋体" w:hAnsi="宋体" w:cs="宋体"/>
          <w:b/>
          <w:bCs/>
          <w:sz w:val="24"/>
        </w:rPr>
        <w:t>若有验收特别约定的，按特别约定条款执行</w:t>
      </w:r>
      <w:r>
        <w:rPr>
          <w:rFonts w:hint="eastAsia" w:ascii="宋体" w:hAnsi="宋体" w:cs="宋体"/>
          <w:sz w:val="24"/>
          <w:lang w:eastAsia="zh-CN"/>
        </w:rPr>
        <w:t>）</w:t>
      </w:r>
      <w:r>
        <w:rPr>
          <w:rFonts w:hint="eastAsia" w:ascii="宋体" w:hAnsi="宋体" w:cs="宋体"/>
          <w:sz w:val="24"/>
        </w:rPr>
        <w:t>，验收应出具</w:t>
      </w:r>
      <w:r>
        <w:rPr>
          <w:rFonts w:hint="eastAsia" w:ascii="宋体" w:hAnsi="宋体" w:cs="宋体"/>
          <w:b/>
          <w:bCs/>
          <w:sz w:val="24"/>
          <w:u w:val="none"/>
        </w:rPr>
        <w:t>验收单</w:t>
      </w:r>
      <w:r>
        <w:rPr>
          <w:rFonts w:hint="eastAsia" w:ascii="宋体" w:hAnsi="宋体" w:cs="宋体"/>
          <w:sz w:val="24"/>
          <w:u w:val="none"/>
        </w:rPr>
        <w:t>（</w:t>
      </w:r>
      <w:r>
        <w:rPr>
          <w:rFonts w:hint="eastAsia" w:ascii="宋体" w:hAnsi="宋体" w:cs="宋体"/>
          <w:sz w:val="24"/>
        </w:rPr>
        <w:t>如因货物检测需要更长时间的，组织验收时间为自货物交付之日起至甲方收到检</w:t>
      </w:r>
      <w:r>
        <w:rPr>
          <w:rFonts w:hint="eastAsia" w:ascii="宋体" w:hAnsi="宋体" w:cs="宋体"/>
          <w:sz w:val="24"/>
          <w:lang w:val="en-US" w:eastAsia="zh-CN"/>
        </w:rPr>
        <w:t>验</w:t>
      </w:r>
      <w:r>
        <w:rPr>
          <w:rFonts w:hint="eastAsia" w:ascii="宋体" w:hAnsi="宋体" w:cs="宋体"/>
          <w:sz w:val="24"/>
        </w:rPr>
        <w:t>报告后</w:t>
      </w:r>
      <w:r>
        <w:rPr>
          <w:rFonts w:hint="eastAsia" w:ascii="宋体" w:hAnsi="宋体" w:cs="宋体"/>
          <w:sz w:val="24"/>
          <w:u w:val="single"/>
          <w:lang w:val="en-US" w:eastAsia="zh-CN"/>
        </w:rPr>
        <w:t xml:space="preserve">  3  </w:t>
      </w:r>
      <w:r>
        <w:rPr>
          <w:rFonts w:hint="eastAsia" w:ascii="宋体" w:hAnsi="宋体" w:cs="宋体"/>
          <w:sz w:val="24"/>
        </w:rPr>
        <w:t>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sz w:val="24"/>
          <w:lang w:val="en-US" w:eastAsia="zh-CN"/>
        </w:rPr>
        <w:t>验收工作</w:t>
      </w:r>
      <w:r>
        <w:rPr>
          <w:rFonts w:hint="eastAsia" w:ascii="宋体" w:hAnsi="宋体" w:cs="宋体"/>
          <w:sz w:val="24"/>
        </w:rPr>
        <w:t>。</w:t>
      </w:r>
    </w:p>
    <w:p>
      <w:pPr>
        <w:pStyle w:val="16"/>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8"/>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8"/>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8"/>
        <w:ind w:firstLine="482" w:firstLineChars="200"/>
        <w:rPr>
          <w:rFonts w:eastAsia="宋体"/>
          <w:b/>
        </w:rPr>
      </w:pPr>
      <w:r>
        <w:rPr>
          <w:rFonts w:hint="eastAsia" w:hAnsi="宋体"/>
          <w:b/>
          <w:lang w:val="en-US"/>
        </w:rPr>
        <w:t>八、</w:t>
      </w:r>
      <w:r>
        <w:rPr>
          <w:rFonts w:hint="eastAsia"/>
          <w:b/>
        </w:rPr>
        <w:t>履约保证金</w:t>
      </w:r>
    </w:p>
    <w:p>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color w:val="auto"/>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1"/>
    <w:bookmarkEnd w:id="392"/>
    <w:bookmarkEnd w:id="393"/>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6"/>
        <w:spacing w:before="0" w:beforeAutospacing="0" w:after="0" w:afterAutospacing="0" w:line="360" w:lineRule="auto"/>
        <w:ind w:firstLine="480"/>
        <w:rPr>
          <w:b/>
          <w:bCs/>
        </w:rPr>
      </w:pPr>
      <w:r>
        <w:rPr>
          <w:rFonts w:hint="eastAsia"/>
          <w:b/>
          <w:bCs/>
        </w:rPr>
        <w:t>十、资金支付</w:t>
      </w:r>
    </w:p>
    <w:p>
      <w:pPr>
        <w:pStyle w:val="26"/>
        <w:spacing w:before="0" w:beforeAutospacing="0" w:after="0" w:afterAutospacing="0" w:line="360" w:lineRule="auto"/>
        <w:ind w:firstLine="480"/>
      </w:pPr>
      <w:bookmarkStart w:id="397" w:name="_Toc32071"/>
      <w:bookmarkStart w:id="398" w:name="_Toc19304"/>
      <w:bookmarkStart w:id="399" w:name="_Toc2846"/>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pPr>
        <w:pStyle w:val="26"/>
        <w:spacing w:before="0" w:beforeAutospacing="0" w:after="0" w:afterAutospacing="0" w:line="360" w:lineRule="auto"/>
        <w:ind w:firstLine="480"/>
      </w:pPr>
      <w:r>
        <w:rPr>
          <w:rFonts w:hint="eastAsia"/>
        </w:rPr>
        <w:t>2.本合同</w:t>
      </w:r>
      <w:r>
        <w:rPr>
          <w:rFonts w:hint="eastAsia"/>
          <w:lang w:val="en-US" w:eastAsia="zh-CN"/>
        </w:rPr>
        <w:t>质保期限至验收合格后</w:t>
      </w:r>
      <w:r>
        <w:rPr>
          <w:rFonts w:hint="eastAsia"/>
          <w:u w:val="single"/>
          <w:lang w:val="en-US" w:eastAsia="zh-CN"/>
        </w:rPr>
        <w:t xml:space="preserve">  12个月 </w:t>
      </w:r>
      <w:r>
        <w:rPr>
          <w:rFonts w:hint="eastAsia"/>
          <w:lang w:val="en-US" w:eastAsia="zh-CN"/>
        </w:rPr>
        <w:t>。本合同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pPr>
        <w:pStyle w:val="26"/>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b/>
          <w:bCs/>
          <w:i/>
          <w:iCs/>
          <w:u w:val="single"/>
          <w:lang w:val="en-US" w:eastAsia="zh-CN"/>
        </w:rPr>
        <w:t xml:space="preserve">  </w:t>
      </w:r>
      <w:r>
        <w:rPr>
          <w:rFonts w:hint="eastAsia"/>
          <w:u w:val="single"/>
        </w:rPr>
        <w:t xml:space="preserve"> </w:t>
      </w:r>
      <w:r>
        <w:rPr>
          <w:rFonts w:hint="eastAsia"/>
        </w:rPr>
        <w:t>%；</w:t>
      </w:r>
    </w:p>
    <w:p>
      <w:pPr>
        <w:pStyle w:val="26"/>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pPr>
        <w:pStyle w:val="26"/>
        <w:spacing w:before="0" w:beforeAutospacing="0" w:after="0" w:afterAutospacing="0" w:line="360" w:lineRule="auto"/>
        <w:ind w:firstLine="480"/>
      </w:pPr>
      <w:r>
        <w:rPr>
          <w:rFonts w:hint="eastAsia"/>
        </w:rPr>
        <w:t>3.本项目资金支付的方式、时间和条件采用以下第</w:t>
      </w:r>
      <w:r>
        <w:rPr>
          <w:rFonts w:hint="eastAsia"/>
          <w:u w:val="single"/>
          <w:lang w:val="en-US" w:eastAsia="zh-CN"/>
        </w:rPr>
        <w:t>（1）</w:t>
      </w:r>
      <w:r>
        <w:rPr>
          <w:rFonts w:hint="eastAsia"/>
        </w:rPr>
        <w:t>条款规定：</w:t>
      </w:r>
    </w:p>
    <w:bookmarkEnd w:id="397"/>
    <w:bookmarkEnd w:id="398"/>
    <w:bookmarkEnd w:id="399"/>
    <w:p>
      <w:pPr>
        <w:pStyle w:val="26"/>
        <w:spacing w:before="0" w:beforeAutospacing="0" w:after="0" w:afterAutospacing="0" w:line="360" w:lineRule="auto"/>
        <w:ind w:firstLine="480"/>
        <w:rPr>
          <w:u w:val="single"/>
        </w:rPr>
      </w:pPr>
      <w:bookmarkStart w:id="400" w:name="_Toc21423"/>
      <w:bookmarkStart w:id="401" w:name="_Toc27250"/>
      <w:bookmarkStart w:id="402" w:name="_Toc19554"/>
      <w:r>
        <w:rPr>
          <w:rFonts w:hint="eastAsia"/>
          <w:u w:val="single"/>
        </w:rPr>
        <w:t>（1） 按月支付，甲方根据乙方上月供货量的检验、验收结果进行结算和支付；经检验、验收合格的，甲方收到乙方提供的增值税专用发票后，甲方在本合同约定时间内完成支付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400"/>
      <w:bookmarkEnd w:id="401"/>
      <w:bookmarkEnd w:id="402"/>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液压系统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8"/>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8"/>
        <w:ind w:firstLine="480" w:firstLineChars="200"/>
        <w:rPr>
          <w:rFonts w:hint="eastAsia" w:ascii="宋体" w:hAnsi="宋体" w:cs="宋体" w:eastAsiaTheme="minorEastAsia"/>
          <w:snapToGrid/>
          <w:kern w:val="2"/>
          <w:sz w:val="24"/>
          <w:szCs w:val="24"/>
          <w:lang w:val="en-US" w:eastAsia="zh-CN" w:bidi="ar-SA"/>
        </w:rPr>
      </w:pPr>
      <w:bookmarkStart w:id="403" w:name="_Toc28375"/>
      <w:bookmarkStart w:id="404" w:name="_Toc15583"/>
      <w:bookmarkStart w:id="405" w:name="_Toc16021"/>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16"/>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3"/>
      <w:bookmarkEnd w:id="404"/>
      <w:bookmarkEnd w:id="405"/>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6" w:name="_Toc7245"/>
      <w:bookmarkStart w:id="407" w:name="_Toc11173"/>
      <w:bookmarkStart w:id="408" w:name="_Toc15322"/>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6"/>
    <w:bookmarkEnd w:id="407"/>
    <w:bookmarkEnd w:id="408"/>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5"/>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25"/>
        <w:ind w:left="0" w:leftChars="0" w:firstLine="0" w:firstLineChars="0"/>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9"/>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9" w:name="_Ref467379094"/>
      <w:bookmarkStart w:id="410" w:name="_Ref467378404"/>
      <w:bookmarkStart w:id="411" w:name="_Ref467379214"/>
      <w:bookmarkStart w:id="412" w:name="_Toc28763"/>
      <w:bookmarkStart w:id="413" w:name="_Toc16917"/>
      <w:bookmarkStart w:id="414" w:name="_Toc259093669"/>
      <w:bookmarkStart w:id="415" w:name="_Ref467379109"/>
      <w:bookmarkStart w:id="416" w:name="_Ref467379101"/>
      <w:bookmarkStart w:id="417" w:name="_Ref467378499"/>
      <w:bookmarkStart w:id="418" w:name="_Toc19614"/>
      <w:bookmarkStart w:id="419" w:name="_Ref467379205"/>
      <w:bookmarkStart w:id="420" w:name="_Toc279701240"/>
      <w:bookmarkStart w:id="421" w:name="_Ref467379225"/>
      <w:bookmarkStart w:id="422" w:name="_Ref467379195"/>
      <w:bookmarkStart w:id="423" w:name="_Ref467378463"/>
      <w:bookmarkStart w:id="424" w:name="_Toc487900349"/>
      <w:r>
        <w:rPr>
          <w:rFonts w:hint="eastAsia" w:ascii="宋体" w:hAnsi="宋体" w:cs="宋体"/>
          <w:b/>
          <w:sz w:val="24"/>
        </w:rPr>
        <w:t>一、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5" w:name="_Ref467378840"/>
      <w:r>
        <w:rPr>
          <w:rFonts w:hint="eastAsia" w:ascii="宋体" w:hAnsi="宋体" w:cs="宋体"/>
          <w:sz w:val="24"/>
        </w:rPr>
        <w:t>4. “甲方”系指与中标或成交供应商签署合同的采购人</w:t>
      </w:r>
      <w:bookmarkEnd w:id="425"/>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6" w:name="_Ref467379400"/>
      <w:r>
        <w:rPr>
          <w:rFonts w:hint="eastAsia" w:ascii="宋体" w:hAnsi="宋体" w:cs="宋体"/>
          <w:sz w:val="24"/>
        </w:rPr>
        <w:t>5.“乙方”系指根据合同约定交付货物的中标或成交供应商</w:t>
      </w:r>
      <w:bookmarkEnd w:id="42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7" w:name="_Ref467379436"/>
      <w:r>
        <w:rPr>
          <w:rFonts w:hint="eastAsia" w:ascii="宋体" w:hAnsi="宋体" w:cs="宋体"/>
          <w:sz w:val="24"/>
        </w:rPr>
        <w:t>6.“现场”系指合同约定货物将要运至或者安装的地点。</w:t>
      </w:r>
      <w:bookmarkEnd w:id="427"/>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8" w:name="_Toc279701241"/>
      <w:bookmarkStart w:id="429" w:name="_Toc13336"/>
      <w:bookmarkStart w:id="430" w:name="_Toc487900350"/>
      <w:bookmarkStart w:id="431" w:name="_Toc32504"/>
      <w:bookmarkStart w:id="432" w:name="_Toc27635"/>
      <w:bookmarkStart w:id="433" w:name="_Toc259093670"/>
      <w:r>
        <w:rPr>
          <w:rFonts w:hint="eastAsia" w:ascii="宋体" w:hAnsi="宋体" w:cs="宋体"/>
          <w:b/>
          <w:sz w:val="24"/>
        </w:rPr>
        <w:t>二、技术规范</w:t>
      </w:r>
      <w:bookmarkEnd w:id="428"/>
      <w:bookmarkEnd w:id="429"/>
      <w:bookmarkEnd w:id="430"/>
      <w:bookmarkEnd w:id="431"/>
      <w:bookmarkEnd w:id="432"/>
      <w:bookmarkEnd w:id="433"/>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4" w:name="_Toc31634"/>
      <w:bookmarkStart w:id="435" w:name="_Toc9829"/>
      <w:bookmarkStart w:id="436" w:name="_Toc27853"/>
      <w:bookmarkStart w:id="437" w:name="_Toc279701242"/>
      <w:bookmarkStart w:id="438" w:name="_Toc259093671"/>
      <w:bookmarkStart w:id="439" w:name="_Toc487900351"/>
      <w:r>
        <w:rPr>
          <w:rFonts w:hint="eastAsia" w:ascii="宋体" w:hAnsi="宋体" w:cs="宋体"/>
          <w:b/>
          <w:sz w:val="24"/>
        </w:rPr>
        <w:t>三、知识产权</w:t>
      </w:r>
      <w:bookmarkEnd w:id="434"/>
      <w:bookmarkEnd w:id="435"/>
      <w:bookmarkEnd w:id="436"/>
      <w:bookmarkEnd w:id="437"/>
      <w:bookmarkEnd w:id="438"/>
      <w:bookmarkEnd w:id="439"/>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40" w:name="_Toc4194"/>
      <w:bookmarkStart w:id="441" w:name="_Toc29149"/>
      <w:bookmarkStart w:id="442" w:name="_Toc11932"/>
      <w:r>
        <w:rPr>
          <w:rFonts w:hint="eastAsia" w:ascii="宋体" w:hAnsi="宋体" w:cs="宋体"/>
          <w:b/>
          <w:sz w:val="24"/>
        </w:rPr>
        <w:t>四、装运包装</w:t>
      </w:r>
      <w:bookmarkEnd w:id="440"/>
      <w:bookmarkEnd w:id="441"/>
      <w:bookmarkEnd w:id="442"/>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3" w:name="_Toc19074"/>
      <w:bookmarkStart w:id="444" w:name="_Toc30272"/>
      <w:bookmarkStart w:id="445" w:name="_Toc26182"/>
      <w:r>
        <w:rPr>
          <w:rFonts w:hint="eastAsia" w:ascii="宋体" w:hAnsi="宋体" w:cs="宋体"/>
          <w:b/>
          <w:sz w:val="24"/>
        </w:rPr>
        <w:t>五、 履约检查和问题反馈</w:t>
      </w:r>
      <w:bookmarkEnd w:id="443"/>
      <w:bookmarkEnd w:id="444"/>
      <w:bookmarkEnd w:id="445"/>
    </w:p>
    <w:p>
      <w:pPr>
        <w:spacing w:line="360" w:lineRule="auto"/>
        <w:ind w:firstLine="480" w:firstLineChars="200"/>
        <w:rPr>
          <w:rFonts w:ascii="宋体" w:hAnsi="宋体" w:cs="宋体"/>
          <w:sz w:val="24"/>
        </w:rPr>
      </w:pPr>
      <w:bookmarkStart w:id="446" w:name="_Toc186431854"/>
      <w:bookmarkStart w:id="447" w:name="_Ref467379807"/>
      <w:bookmarkStart w:id="448" w:name="_Ref467379793"/>
      <w:bookmarkStart w:id="449" w:name="_Toc279701247"/>
      <w:bookmarkStart w:id="450" w:name="_Toc487900357"/>
      <w:bookmarkStart w:id="451" w:name="_Toc259093676"/>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6"/>
      <w:bookmarkStart w:id="452" w:name="_Toc186431855"/>
      <w:r>
        <w:rPr>
          <w:rFonts w:hint="eastAsia" w:ascii="宋体" w:hAnsi="宋体" w:cs="宋体"/>
          <w:sz w:val="24"/>
        </w:rPr>
        <w:t>。</w:t>
      </w:r>
    </w:p>
    <w:bookmarkEnd w:id="447"/>
    <w:bookmarkEnd w:id="448"/>
    <w:bookmarkEnd w:id="449"/>
    <w:bookmarkEnd w:id="450"/>
    <w:bookmarkEnd w:id="451"/>
    <w:bookmarkEnd w:id="452"/>
    <w:p>
      <w:pPr>
        <w:spacing w:line="360" w:lineRule="auto"/>
        <w:ind w:firstLine="482" w:firstLineChars="200"/>
        <w:outlineLvl w:val="0"/>
        <w:rPr>
          <w:rFonts w:ascii="宋体" w:hAnsi="宋体" w:cs="宋体"/>
          <w:b/>
          <w:sz w:val="24"/>
        </w:rPr>
      </w:pPr>
      <w:bookmarkStart w:id="453" w:name="_Ref467379852"/>
      <w:bookmarkStart w:id="454" w:name="_Ref467379923"/>
      <w:bookmarkStart w:id="455" w:name="_Toc487900358"/>
      <w:bookmarkStart w:id="456" w:name="_Ref467379863"/>
      <w:bookmarkStart w:id="457" w:name="_Toc259093677"/>
      <w:bookmarkStart w:id="458" w:name="_Toc279701248"/>
      <w:bookmarkStart w:id="459" w:name="_Toc3225"/>
      <w:bookmarkStart w:id="460" w:name="_Toc16110"/>
      <w:bookmarkStart w:id="461" w:name="_Toc774"/>
      <w:r>
        <w:rPr>
          <w:rFonts w:hint="eastAsia" w:ascii="宋体" w:hAnsi="宋体" w:cs="宋体"/>
          <w:b/>
          <w:sz w:val="24"/>
        </w:rPr>
        <w:t>六、技术资料</w:t>
      </w:r>
      <w:bookmarkEnd w:id="453"/>
      <w:bookmarkEnd w:id="454"/>
      <w:bookmarkEnd w:id="455"/>
      <w:bookmarkEnd w:id="456"/>
      <w:bookmarkEnd w:id="457"/>
      <w:bookmarkEnd w:id="458"/>
      <w:r>
        <w:rPr>
          <w:rFonts w:hint="eastAsia" w:ascii="宋体" w:hAnsi="宋体" w:cs="宋体"/>
          <w:b/>
          <w:sz w:val="24"/>
        </w:rPr>
        <w:t>和保密义务</w:t>
      </w:r>
      <w:bookmarkEnd w:id="459"/>
      <w:bookmarkEnd w:id="460"/>
      <w:bookmarkEnd w:id="461"/>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2" w:name="_Toc7860"/>
      <w:r>
        <w:rPr>
          <w:rFonts w:hint="eastAsia" w:ascii="宋体" w:hAnsi="宋体" w:cs="宋体"/>
          <w:b/>
          <w:sz w:val="24"/>
        </w:rPr>
        <w:t>七、质量保证</w:t>
      </w:r>
      <w:bookmarkEnd w:id="462"/>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3" w:name="_Toc17244"/>
      <w:bookmarkStart w:id="464" w:name="_Toc279701252"/>
      <w:bookmarkStart w:id="465" w:name="_Toc259093681"/>
      <w:bookmarkStart w:id="466" w:name="_Toc487900362"/>
      <w:r>
        <w:rPr>
          <w:rFonts w:hint="eastAsia" w:ascii="宋体" w:hAnsi="宋体" w:cs="宋体"/>
          <w:b/>
          <w:sz w:val="24"/>
        </w:rPr>
        <w:t>八、货物的风险负担</w:t>
      </w:r>
      <w:bookmarkEnd w:id="463"/>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7" w:name="_Toc14055"/>
      <w:r>
        <w:rPr>
          <w:rFonts w:hint="eastAsia" w:ascii="宋体" w:hAnsi="宋体" w:cs="宋体"/>
          <w:b/>
          <w:sz w:val="24"/>
        </w:rPr>
        <w:t>九、延迟交货</w:t>
      </w:r>
      <w:bookmarkEnd w:id="464"/>
      <w:bookmarkEnd w:id="465"/>
      <w:bookmarkEnd w:id="466"/>
      <w:bookmarkEnd w:id="467"/>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8" w:name="_Toc7502"/>
      <w:bookmarkStart w:id="469" w:name="_Toc487900364"/>
      <w:bookmarkStart w:id="470" w:name="_Ref467378121"/>
      <w:bookmarkStart w:id="471" w:name="_Toc259093683"/>
      <w:bookmarkStart w:id="472" w:name="_Toc279701254"/>
      <w:r>
        <w:rPr>
          <w:rFonts w:hint="eastAsia" w:ascii="宋体" w:hAnsi="宋体" w:cs="宋体"/>
          <w:b/>
          <w:sz w:val="24"/>
        </w:rPr>
        <w:t>十、合同变更</w:t>
      </w:r>
      <w:bookmarkEnd w:id="468"/>
      <w:r>
        <w:rPr>
          <w:rFonts w:hint="eastAsia" w:ascii="宋体" w:hAnsi="宋体" w:cs="宋体"/>
          <w:b/>
          <w:sz w:val="24"/>
        </w:rPr>
        <w:t>或补充</w:t>
      </w:r>
    </w:p>
    <w:p>
      <w:pPr>
        <w:spacing w:line="360" w:lineRule="auto"/>
        <w:ind w:firstLine="480" w:firstLineChars="200"/>
        <w:rPr>
          <w:rFonts w:ascii="宋体" w:hAnsi="宋体"/>
          <w:sz w:val="24"/>
        </w:rPr>
      </w:pPr>
      <w:bookmarkStart w:id="473" w:name="_Toc487900369"/>
      <w:bookmarkStart w:id="474" w:name="_Toc259093688"/>
      <w:bookmarkStart w:id="475" w:name="_Toc279701259"/>
      <w:bookmarkStart w:id="476" w:name="_Toc22955"/>
      <w:bookmarkStart w:id="477" w:name="_Toc15237"/>
      <w:bookmarkStart w:id="478"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3"/>
      <w:bookmarkEnd w:id="474"/>
      <w:bookmarkEnd w:id="475"/>
      <w:r>
        <w:rPr>
          <w:rFonts w:hint="eastAsia" w:ascii="宋体" w:hAnsi="宋体" w:cs="宋体"/>
          <w:b/>
          <w:sz w:val="24"/>
        </w:rPr>
        <w:t>和分包</w:t>
      </w:r>
      <w:bookmarkEnd w:id="476"/>
      <w:bookmarkEnd w:id="477"/>
      <w:bookmarkEnd w:id="478"/>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9" w:name="_Toc16508"/>
      <w:bookmarkStart w:id="480" w:name="_Toc13566"/>
      <w:bookmarkStart w:id="481" w:name="_Toc14066"/>
      <w:r>
        <w:rPr>
          <w:rFonts w:hint="eastAsia" w:ascii="宋体" w:hAnsi="宋体" w:cs="宋体"/>
          <w:b/>
          <w:sz w:val="24"/>
        </w:rPr>
        <w:t>十二、不可抗力</w:t>
      </w:r>
      <w:bookmarkEnd w:id="479"/>
      <w:bookmarkEnd w:id="480"/>
      <w:bookmarkEnd w:id="481"/>
    </w:p>
    <w:p>
      <w:pPr>
        <w:spacing w:line="360" w:lineRule="auto"/>
        <w:ind w:firstLine="480" w:firstLineChars="200"/>
        <w:rPr>
          <w:rFonts w:ascii="宋体" w:hAnsi="宋体"/>
          <w:sz w:val="24"/>
        </w:rPr>
      </w:pPr>
      <w:bookmarkStart w:id="482" w:name="_Toc30676"/>
      <w:bookmarkStart w:id="483" w:name="_Toc487900365"/>
      <w:bookmarkStart w:id="484" w:name="_Toc259093684"/>
      <w:bookmarkStart w:id="485" w:name="_Toc279701255"/>
      <w:bookmarkStart w:id="486" w:name="_Toc6969"/>
      <w:bookmarkStart w:id="487" w:name="_Toc68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2"/>
      <w:bookmarkEnd w:id="483"/>
      <w:bookmarkEnd w:id="484"/>
      <w:bookmarkEnd w:id="485"/>
      <w:bookmarkEnd w:id="486"/>
      <w:bookmarkEnd w:id="487"/>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8" w:name="_Toc279701258"/>
      <w:bookmarkStart w:id="489" w:name="_Toc487900368"/>
      <w:bookmarkStart w:id="490" w:name="_Toc16959"/>
      <w:bookmarkStart w:id="491" w:name="_Toc8298"/>
      <w:bookmarkStart w:id="492" w:name="_Toc7102"/>
      <w:bookmarkStart w:id="493" w:name="_Toc259093687"/>
      <w:r>
        <w:rPr>
          <w:rFonts w:hint="eastAsia" w:ascii="宋体" w:hAnsi="宋体" w:cs="宋体"/>
          <w:b/>
          <w:sz w:val="24"/>
        </w:rPr>
        <w:t>十四、乙方破产</w:t>
      </w:r>
      <w:bookmarkEnd w:id="488"/>
      <w:bookmarkEnd w:id="489"/>
      <w:bookmarkEnd w:id="490"/>
      <w:bookmarkEnd w:id="491"/>
      <w:bookmarkEnd w:id="492"/>
      <w:bookmarkEnd w:id="493"/>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4" w:name="_Toc29333"/>
      <w:bookmarkStart w:id="495" w:name="_Toc6134"/>
      <w:bookmarkStart w:id="496" w:name="_Toc15387"/>
      <w:r>
        <w:rPr>
          <w:rFonts w:hint="eastAsia" w:ascii="宋体" w:hAnsi="宋体" w:cs="宋体"/>
          <w:b/>
          <w:sz w:val="24"/>
        </w:rPr>
        <w:t>十五、合同中止、终止</w:t>
      </w:r>
      <w:bookmarkEnd w:id="494"/>
      <w:bookmarkEnd w:id="495"/>
      <w:bookmarkEnd w:id="496"/>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9"/>
    <w:bookmarkEnd w:id="470"/>
    <w:bookmarkEnd w:id="471"/>
    <w:bookmarkEnd w:id="472"/>
    <w:p>
      <w:pPr>
        <w:spacing w:line="360" w:lineRule="auto"/>
        <w:ind w:firstLine="482" w:firstLineChars="200"/>
        <w:outlineLvl w:val="0"/>
        <w:rPr>
          <w:rFonts w:ascii="宋体" w:hAnsi="宋体" w:cs="宋体"/>
          <w:b/>
          <w:sz w:val="24"/>
        </w:rPr>
      </w:pPr>
      <w:bookmarkStart w:id="497" w:name="_Toc259093690"/>
      <w:bookmarkStart w:id="498" w:name="_Toc279701261"/>
      <w:bookmarkStart w:id="499" w:name="_Toc487900371"/>
      <w:bookmarkStart w:id="500" w:name="_Toc19604"/>
      <w:bookmarkStart w:id="501" w:name="_Toc11284"/>
      <w:bookmarkStart w:id="502" w:name="_Toc25182"/>
      <w:r>
        <w:rPr>
          <w:rFonts w:hint="eastAsia" w:ascii="宋体" w:hAnsi="宋体" w:cs="宋体"/>
          <w:b/>
          <w:sz w:val="24"/>
        </w:rPr>
        <w:t>十六、 通知</w:t>
      </w:r>
      <w:bookmarkEnd w:id="497"/>
      <w:bookmarkEnd w:id="498"/>
      <w:bookmarkEnd w:id="499"/>
      <w:r>
        <w:rPr>
          <w:rFonts w:hint="eastAsia" w:ascii="宋体" w:hAnsi="宋体" w:cs="宋体"/>
          <w:b/>
          <w:sz w:val="24"/>
        </w:rPr>
        <w:t>和送达</w:t>
      </w:r>
      <w:bookmarkEnd w:id="500"/>
      <w:bookmarkEnd w:id="501"/>
      <w:bookmarkEnd w:id="502"/>
    </w:p>
    <w:p>
      <w:pPr>
        <w:spacing w:line="360" w:lineRule="auto"/>
        <w:ind w:firstLine="480" w:firstLineChars="200"/>
        <w:rPr>
          <w:rFonts w:ascii="宋体" w:hAnsi="宋体"/>
          <w:sz w:val="24"/>
        </w:rPr>
      </w:pPr>
      <w:bookmarkStart w:id="503" w:name="_Toc27674"/>
      <w:bookmarkStart w:id="504" w:name="_Toc18401"/>
      <w:bookmarkStart w:id="505" w:name="_Toc487900372"/>
      <w:bookmarkStart w:id="506" w:name="_Toc4355"/>
      <w:bookmarkStart w:id="507" w:name="_Toc30599"/>
      <w:bookmarkStart w:id="508" w:name="_Toc18540"/>
      <w:bookmarkStart w:id="509" w:name="_Toc279701262"/>
      <w:bookmarkStart w:id="510" w:name="_Toc259093691"/>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3"/>
      <w:bookmarkEnd w:id="504"/>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5"/>
      <w:bookmarkEnd w:id="506"/>
      <w:bookmarkEnd w:id="507"/>
      <w:bookmarkEnd w:id="508"/>
      <w:bookmarkEnd w:id="509"/>
      <w:bookmarkEnd w:id="510"/>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1" w:name="_Toc12773"/>
      <w:bookmarkStart w:id="512" w:name="_Toc279701263"/>
      <w:bookmarkStart w:id="513" w:name="_Toc18567"/>
      <w:bookmarkStart w:id="514" w:name="_Toc10330"/>
      <w:bookmarkStart w:id="515" w:name="_Toc259093692"/>
      <w:bookmarkStart w:id="516" w:name="_Toc487900373"/>
      <w:r>
        <w:rPr>
          <w:rFonts w:hint="eastAsia" w:ascii="宋体" w:hAnsi="宋体" w:cs="宋体"/>
          <w:b/>
          <w:sz w:val="24"/>
        </w:rPr>
        <w:t>十八、合同使用的文字和适用的法律</w:t>
      </w:r>
      <w:bookmarkEnd w:id="511"/>
      <w:bookmarkEnd w:id="512"/>
      <w:bookmarkEnd w:id="513"/>
      <w:bookmarkEnd w:id="514"/>
      <w:bookmarkEnd w:id="515"/>
      <w:bookmarkEnd w:id="516"/>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5"/>
        <w:spacing w:line="560" w:lineRule="exact"/>
        <w:ind w:left="0" w:leftChars="0" w:firstLine="0" w:firstLineChars="0"/>
        <w:jc w:val="both"/>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9"/>
        <w:rPr>
          <w:rFonts w:hint="eastAsia" w:ascii="宋体" w:hAnsi="宋体" w:cs="Times New Roman"/>
          <w:b/>
          <w:szCs w:val="24"/>
        </w:rPr>
      </w:pPr>
    </w:p>
    <w:p>
      <w:pPr>
        <w:pStyle w:val="25"/>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pPr>
        <w:pStyle w:val="9"/>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2"/>
        <w:jc w:val="both"/>
      </w:pPr>
    </w:p>
    <w:p/>
    <w:p>
      <w:pPr>
        <w:pStyle w:val="2"/>
      </w:pPr>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2025年-2026年液动阀门采购项目（第三次）</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202508010</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w:t>
      </w:r>
      <w:r>
        <w:rPr>
          <w:rFonts w:hint="eastAsia" w:cs="仿宋" w:asciiTheme="minorEastAsia" w:hAnsiTheme="minorEastAsia"/>
          <w:sz w:val="24"/>
          <w:lang w:val="en-US" w:eastAsia="zh-CN"/>
        </w:rPr>
        <w:t>其他资格</w:t>
      </w:r>
      <w:r>
        <w:rPr>
          <w:rFonts w:hint="eastAsia" w:cs="仿宋" w:asciiTheme="minorEastAsia" w:hAnsiTheme="minorEastAsia"/>
          <w:sz w:val="24"/>
        </w:rPr>
        <w:t>要求（如果有）………………………………………（页码）</w:t>
      </w:r>
    </w:p>
    <w:p>
      <w:pPr>
        <w:snapToGrid w:val="0"/>
        <w:spacing w:line="360" w:lineRule="auto"/>
        <w:rPr>
          <w:rFonts w:hint="eastAsia" w:cs="仿宋" w:asciiTheme="minorEastAsia" w:hAnsiTheme="minorEastAsia"/>
          <w:sz w:val="24"/>
        </w:rPr>
      </w:pPr>
    </w:p>
    <w:p>
      <w:pPr>
        <w:pStyle w:val="8"/>
      </w:pPr>
    </w:p>
    <w:p>
      <w:pPr>
        <w:pStyle w:val="16"/>
      </w:pPr>
    </w:p>
    <w:p/>
    <w:p>
      <w:pPr>
        <w:pStyle w:val="8"/>
      </w:pPr>
    </w:p>
    <w:p>
      <w:pPr>
        <w:pStyle w:val="16"/>
      </w:pPr>
    </w:p>
    <w:p/>
    <w:p>
      <w:pPr>
        <w:pStyle w:val="8"/>
      </w:pPr>
    </w:p>
    <w:p>
      <w:pPr>
        <w:pStyle w:val="16"/>
      </w:pPr>
    </w:p>
    <w:p/>
    <w:p>
      <w:pPr>
        <w:pStyle w:val="8"/>
      </w:pPr>
    </w:p>
    <w:p>
      <w:pPr>
        <w:pStyle w:val="16"/>
      </w:pPr>
    </w:p>
    <w:p>
      <w:pPr>
        <w:pStyle w:val="14"/>
      </w:pPr>
    </w:p>
    <w:p/>
    <w:p/>
    <w:p/>
    <w:p/>
    <w:p/>
    <w:p>
      <w:pPr>
        <w:pStyle w:val="8"/>
      </w:pPr>
    </w:p>
    <w:p>
      <w:pPr>
        <w:pStyle w:val="16"/>
      </w:pPr>
    </w:p>
    <w:p/>
    <w:p>
      <w:pPr>
        <w:pStyle w:val="8"/>
      </w:pPr>
    </w:p>
    <w:p>
      <w:pPr>
        <w:pStyle w:val="16"/>
      </w:pPr>
    </w:p>
    <w:p>
      <w:pPr>
        <w:pStyle w:val="14"/>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2025年-2026年液动阀门采购项目（第三次）</w:t>
      </w:r>
      <w:r>
        <w:rPr>
          <w:rFonts w:hint="eastAsia" w:cs="仿宋" w:asciiTheme="minorEastAsia" w:hAnsiTheme="minorEastAsia"/>
          <w:sz w:val="24"/>
        </w:rPr>
        <w:t>【项目编号：</w:t>
      </w:r>
      <w:r>
        <w:rPr>
          <w:rFonts w:hint="eastAsia" w:cs="仿宋" w:asciiTheme="minorEastAsia" w:hAnsiTheme="minorEastAsia"/>
          <w:sz w:val="24"/>
          <w:u w:val="single"/>
          <w:lang w:eastAsia="zh-CN"/>
        </w:rPr>
        <w:t>202508010</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8"/>
      </w:pPr>
    </w:p>
    <w:p>
      <w:pPr>
        <w:pStyle w:val="16"/>
      </w:pPr>
    </w:p>
    <w:p/>
    <w:p>
      <w:pPr>
        <w:pStyle w:val="8"/>
      </w:pPr>
    </w:p>
    <w:p>
      <w:pPr>
        <w:pStyle w:val="16"/>
      </w:pPr>
    </w:p>
    <w:p/>
    <w:p>
      <w:pPr>
        <w:pStyle w:val="8"/>
      </w:pPr>
    </w:p>
    <w:p>
      <w:pPr>
        <w:pStyle w:val="16"/>
      </w:pPr>
    </w:p>
    <w:p/>
    <w:p>
      <w:pPr>
        <w:pStyle w:val="13"/>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pPr>
        <w:pStyle w:val="8"/>
        <w:rPr>
          <w:lang w:val="en-US"/>
        </w:rPr>
      </w:pP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w:t>
      </w:r>
      <w:r>
        <w:rPr>
          <w:rFonts w:hint="eastAsia" w:cs="仿宋" w:asciiTheme="minorEastAsia" w:hAnsiTheme="minorEastAsia"/>
          <w:b/>
          <w:kern w:val="0"/>
          <w:sz w:val="32"/>
          <w:szCs w:val="32"/>
          <w:lang w:val="en-US" w:eastAsia="zh-CN"/>
        </w:rPr>
        <w:t>其他</w:t>
      </w:r>
      <w:r>
        <w:rPr>
          <w:rFonts w:hint="eastAsia" w:cs="仿宋" w:asciiTheme="minorEastAsia" w:hAnsiTheme="minorEastAsia"/>
          <w:b/>
          <w:kern w:val="0"/>
          <w:sz w:val="32"/>
          <w:szCs w:val="32"/>
        </w:rPr>
        <w:t>要求</w:t>
      </w:r>
    </w:p>
    <w:p>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w:t>
      </w:r>
      <w:r>
        <w:rPr>
          <w:rFonts w:hint="eastAsia" w:cs="仿宋" w:asciiTheme="minorEastAsia" w:hAnsiTheme="minorEastAsia"/>
          <w:sz w:val="24"/>
          <w:lang w:val="en-US" w:eastAsia="zh-CN"/>
        </w:rPr>
        <w:t>其他</w:t>
      </w:r>
      <w:r>
        <w:rPr>
          <w:rFonts w:hint="eastAsia" w:cs="仿宋" w:asciiTheme="minorEastAsia" w:hAnsiTheme="minorEastAsia"/>
          <w:sz w:val="24"/>
        </w:rPr>
        <w:t>要求提供相应的材料，如业绩证明材料、特殊行业许可证书等；未要求的，无需提供）</w:t>
      </w:r>
    </w:p>
    <w:p/>
    <w:p>
      <w:pPr>
        <w:pStyle w:val="8"/>
      </w:pPr>
    </w:p>
    <w:p>
      <w:pPr>
        <w:pStyle w:val="16"/>
      </w:pPr>
    </w:p>
    <w:p/>
    <w:p/>
    <w:p>
      <w:pPr>
        <w:pStyle w:val="8"/>
      </w:pPr>
    </w:p>
    <w:p>
      <w:pPr>
        <w:pStyle w:val="16"/>
      </w:pPr>
    </w:p>
    <w:p/>
    <w:p>
      <w:pPr>
        <w:pStyle w:val="8"/>
      </w:pPr>
    </w:p>
    <w:p>
      <w:pPr>
        <w:pStyle w:val="16"/>
      </w:pPr>
    </w:p>
    <w:p/>
    <w:p>
      <w:pPr>
        <w:pStyle w:val="8"/>
      </w:pPr>
    </w:p>
    <w:p>
      <w:pPr>
        <w:pStyle w:val="16"/>
      </w:pPr>
    </w:p>
    <w:p/>
    <w:p>
      <w:pPr>
        <w:pStyle w:val="8"/>
      </w:pPr>
    </w:p>
    <w:p>
      <w:pPr>
        <w:pStyle w:val="16"/>
      </w:pPr>
    </w:p>
    <w:p/>
    <w:p>
      <w:pPr>
        <w:pStyle w:val="8"/>
      </w:pPr>
    </w:p>
    <w:p>
      <w:pPr>
        <w:pStyle w:val="16"/>
      </w:pPr>
    </w:p>
    <w:p/>
    <w:p>
      <w:pPr>
        <w:pStyle w:val="8"/>
      </w:pPr>
    </w:p>
    <w:p>
      <w:pPr>
        <w:pStyle w:val="8"/>
      </w:pPr>
    </w:p>
    <w:p>
      <w:pPr>
        <w:pStyle w:val="16"/>
      </w:pPr>
    </w:p>
    <w:p>
      <w:pPr>
        <w:pStyle w:val="8"/>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16"/>
      </w:pPr>
    </w:p>
    <w:p/>
    <w:p>
      <w:pPr>
        <w:pStyle w:val="8"/>
      </w:pPr>
    </w:p>
    <w:p>
      <w:pPr>
        <w:pStyle w:val="16"/>
      </w:pPr>
    </w:p>
    <w:p/>
    <w:p>
      <w:pPr>
        <w:pStyle w:val="8"/>
      </w:pPr>
    </w:p>
    <w:p>
      <w:pPr>
        <w:pStyle w:val="16"/>
      </w:pPr>
    </w:p>
    <w:p/>
    <w:p>
      <w:pPr>
        <w:pStyle w:val="8"/>
      </w:pPr>
    </w:p>
    <w:p>
      <w:pPr>
        <w:pStyle w:val="16"/>
      </w:pPr>
    </w:p>
    <w:p/>
    <w:p>
      <w:pPr>
        <w:pStyle w:val="8"/>
      </w:pPr>
    </w:p>
    <w:p>
      <w:pPr>
        <w:pStyle w:val="16"/>
      </w:pPr>
    </w:p>
    <w:p/>
    <w:p>
      <w:pPr>
        <w:pStyle w:val="2"/>
      </w:pPr>
    </w:p>
    <w:p>
      <w:pPr>
        <w:pStyle w:val="8"/>
      </w:pPr>
    </w:p>
    <w:p>
      <w:pPr>
        <w:pStyle w:val="16"/>
      </w:pPr>
    </w:p>
    <w:p/>
    <w:p>
      <w:pPr>
        <w:pStyle w:val="8"/>
      </w:pPr>
    </w:p>
    <w:p>
      <w:pPr>
        <w:pStyle w:val="16"/>
        <w:ind w:left="0" w:leftChars="0" w:firstLine="0" w:firstLineChars="0"/>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2025年-2026年液动阀门采购项目（第三次）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202508010</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响应产品规格配置清单；</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5</w:t>
      </w:r>
      <w:r>
        <w:rPr>
          <w:rFonts w:hint="eastAsia" w:cs="仿宋" w:asciiTheme="minorEastAsia" w:hAnsiTheme="minorEastAsia"/>
          <w:sz w:val="24"/>
        </w:rPr>
        <w:t>商务技术偏离表；</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numPr>
          <w:ilvl w:val="0"/>
          <w:numId w:val="0"/>
        </w:num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eastAsiaTheme="minorEastAsia"/>
          <w:kern w:val="2"/>
          <w:sz w:val="24"/>
          <w:szCs w:val="24"/>
          <w:lang w:val="en-US" w:eastAsia="zh-CN" w:bidi="ar-SA"/>
        </w:rPr>
        <w:t>5</w:t>
      </w:r>
      <w:r>
        <w:rPr>
          <w:rFonts w:hint="eastAsia" w:cs="仿宋" w:asciiTheme="minorEastAsia" w:hAnsiTheme="minorEastAsia"/>
          <w:kern w:val="2"/>
          <w:sz w:val="24"/>
          <w:szCs w:val="24"/>
          <w:lang w:val="en-US" w:eastAsia="zh-CN" w:bidi="ar-SA"/>
        </w:rPr>
        <w:t>.</w:t>
      </w:r>
      <w:r>
        <w:rPr>
          <w:rFonts w:hint="eastAsia" w:cs="仿宋" w:asciiTheme="minorEastAsia" w:hAnsiTheme="minorEastAsia"/>
          <w:sz w:val="24"/>
        </w:rPr>
        <w:t>其他补充说明:</w:t>
      </w:r>
      <w:r>
        <w:rPr>
          <w:rFonts w:hint="eastAsia" w:ascii="宋体" w:hAnsi="宋体" w:cs="宋体"/>
          <w:sz w:val="24"/>
          <w:u w:val="single"/>
        </w:rPr>
        <w:t xml:space="preserve">              </w:t>
      </w:r>
      <w:r>
        <w:rPr>
          <w:rFonts w:hint="eastAsia" w:cs="仿宋" w:asciiTheme="minorEastAsia" w:hAnsiTheme="minorEastAsia"/>
          <w:sz w:val="24"/>
        </w:rPr>
        <w:t>。</w:t>
      </w:r>
    </w:p>
    <w:p>
      <w:pPr>
        <w:pStyle w:val="8"/>
      </w:pPr>
    </w:p>
    <w:p>
      <w:pPr>
        <w:pStyle w:val="16"/>
      </w:pPr>
    </w:p>
    <w:p>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2025年-2026年液动阀门采购项目（第三次）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16"/>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8"/>
        <w:rPr>
          <w:rFonts w:cs="仿宋" w:asciiTheme="minorEastAsia" w:hAnsiTheme="minorEastAsia"/>
          <w:b/>
          <w:kern w:val="0"/>
          <w:sz w:val="32"/>
          <w:szCs w:val="32"/>
        </w:rPr>
      </w:pPr>
    </w:p>
    <w:p>
      <w:pPr>
        <w:pStyle w:val="16"/>
      </w:pPr>
    </w:p>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8"/>
        <w:sectPr>
          <w:pgSz w:w="11906" w:h="16838"/>
          <w:pgMar w:top="1276" w:right="1418" w:bottom="1247" w:left="1418" w:header="851" w:footer="992" w:gutter="0"/>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3"/>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3"/>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2025年-2026年液动阀门采购项目（第三次）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jc w:val="right"/>
        <w:rPr>
          <w:rFonts w:ascii="宋体" w:hAnsi="宋体" w:eastAsia="宋体" w:cs="宋体"/>
          <w:sz w:val="24"/>
        </w:rPr>
      </w:pPr>
      <w:r>
        <w:rPr>
          <w:rFonts w:hint="eastAsia" w:ascii="宋体" w:hAnsi="宋体" w:eastAsia="宋体" w:cs="宋体"/>
          <w:sz w:val="24"/>
        </w:rPr>
        <w:t>供应商名称（公章）：</w:t>
      </w:r>
    </w:p>
    <w:p>
      <w:pPr>
        <w:snapToGrid w:val="0"/>
        <w:spacing w:line="360" w:lineRule="auto"/>
        <w:jc w:val="right"/>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5"/>
        <w:jc w:val="center"/>
        <w:rPr>
          <w:sz w:val="32"/>
          <w:szCs w:val="32"/>
        </w:rPr>
      </w:pPr>
      <w:r>
        <w:rPr>
          <w:rFonts w:hint="eastAsia"/>
          <w:sz w:val="32"/>
          <w:szCs w:val="32"/>
        </w:rPr>
        <w:t>一 、 报价函</w:t>
      </w:r>
    </w:p>
    <w:p>
      <w:pPr>
        <w:pStyle w:val="8"/>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2025年-2026年液动阀门采购项目（第三次）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202508010</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8"/>
        <w:ind w:firstLine="480" w:firstLineChars="200"/>
        <w:jc w:val="left"/>
        <w:rPr>
          <w:rFonts w:hAnsi="宋体" w:cs="宋体"/>
        </w:rPr>
      </w:pPr>
    </w:p>
    <w:p>
      <w:pPr>
        <w:pStyle w:val="8"/>
        <w:ind w:firstLine="480" w:firstLineChars="200"/>
        <w:jc w:val="left"/>
        <w:rPr>
          <w:rFonts w:hAnsi="宋体" w:cs="宋体"/>
        </w:rPr>
      </w:pPr>
    </w:p>
    <w:p>
      <w:pPr>
        <w:pStyle w:val="8"/>
        <w:jc w:val="left"/>
        <w:rPr>
          <w:rFonts w:hAnsi="宋体" w:cs="宋体"/>
        </w:rPr>
      </w:pPr>
      <w:r>
        <w:rPr>
          <w:rFonts w:hint="eastAsia" w:hAnsi="宋体" w:cs="宋体"/>
        </w:rPr>
        <w:t>供应商名称：（盖单位公章）</w:t>
      </w:r>
    </w:p>
    <w:p>
      <w:pPr>
        <w:pStyle w:val="8"/>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8"/>
        <w:tabs>
          <w:tab w:val="left" w:pos="4101"/>
        </w:tabs>
        <w:jc w:val="left"/>
        <w:rPr>
          <w:rFonts w:hAnsi="宋体" w:cs="宋体"/>
        </w:rPr>
      </w:pPr>
      <w:r>
        <w:rPr>
          <w:rFonts w:hint="eastAsia" w:hAnsi="宋体" w:cs="宋体"/>
        </w:rPr>
        <w:t>地址：</w:t>
      </w:r>
    </w:p>
    <w:p>
      <w:pPr>
        <w:pStyle w:val="8"/>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2025年-2026年液动阀门采购项目（第三次）</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202508010</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42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2302"/>
        <w:gridCol w:w="2730"/>
        <w:gridCol w:w="5025"/>
        <w:gridCol w:w="765"/>
        <w:gridCol w:w="780"/>
        <w:gridCol w:w="85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暂定数量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料斗挡板阀组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385611-103020（DRAWING  NO.129F0100DWG/18)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推料器阀组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385620-063030（DRAWING  NO.129F0200DWG/18)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炉排阀组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385670-063060 （DRAWING  NO.129F0300DWG/18)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出渣机阀组</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4"/>
                <w:szCs w:val="24"/>
                <w:lang w:bidi="ar"/>
              </w:rPr>
              <w:t>VICKERS  EATON伊顿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385610-103010 （DRAWING  NO.129F0400DWG/18)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sz w:val="24"/>
              </w:rPr>
              <w:t>响应报价合计（小写）</w:t>
            </w:r>
          </w:p>
        </w:tc>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0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sz w:val="24"/>
              </w:rPr>
              <w:t>响应报价合计（大写）</w:t>
            </w:r>
          </w:p>
        </w:tc>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07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b/>
                <w:sz w:val="24"/>
              </w:rPr>
              <w:t>税率</w:t>
            </w:r>
          </w:p>
        </w:tc>
        <w:tc>
          <w:tcPr>
            <w:tcW w:w="34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仿宋" w:asciiTheme="minorEastAsia" w:hAnsiTheme="minorEastAsia"/>
                <w:sz w:val="24"/>
                <w:u w:val="single"/>
              </w:rPr>
              <w:t xml:space="preserve">    </w:t>
            </w:r>
            <w:r>
              <w:rPr>
                <w:rFonts w:hint="eastAsia" w:cs="仿宋" w:asciiTheme="minorEastAsia" w:hAnsiTheme="minorEastAsia"/>
                <w:sz w:val="24"/>
              </w:rPr>
              <w:t xml:space="preserve"> %</w:t>
            </w:r>
          </w:p>
        </w:tc>
      </w:tr>
    </w:tbl>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pPr>
        <w:pStyle w:val="8"/>
      </w:pPr>
    </w:p>
    <w:p>
      <w:pPr>
        <w:pStyle w:val="16"/>
      </w:pPr>
    </w:p>
    <w:p/>
    <w:p>
      <w:pPr>
        <w:pStyle w:val="8"/>
      </w:pPr>
    </w:p>
    <w:p>
      <w:pPr>
        <w:pStyle w:val="16"/>
      </w:pPr>
    </w:p>
    <w:p/>
    <w:p>
      <w:pPr>
        <w:pStyle w:val="8"/>
      </w:pPr>
    </w:p>
    <w:p>
      <w:pPr>
        <w:pStyle w:val="16"/>
      </w:pPr>
    </w:p>
    <w:p>
      <w:pPr>
        <w:sectPr>
          <w:pgSz w:w="16838" w:h="11906" w:orient="landscape"/>
          <w:pgMar w:top="1803" w:right="1440" w:bottom="1803" w:left="1440" w:header="851" w:footer="992" w:gutter="0"/>
          <w:cols w:space="0" w:num="1"/>
          <w:docGrid w:type="lines" w:linePitch="319" w:charSpace="0"/>
        </w:sectPr>
      </w:pPr>
    </w:p>
    <w:p>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pPr>
        <w:pStyle w:val="13"/>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2"/>
        <w:jc w:val="both"/>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 w:hAnsi="仿宋" w:eastAsia="仿宋" w:cs="仿宋"/>
        <w:i/>
        <w:iCs/>
      </w:rPr>
    </w:pPr>
  </w:p>
  <w:p>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1F6940"/>
    <w:rsid w:val="00211F61"/>
    <w:rsid w:val="00466F38"/>
    <w:rsid w:val="004E73AF"/>
    <w:rsid w:val="00505519"/>
    <w:rsid w:val="00816543"/>
    <w:rsid w:val="00835FC4"/>
    <w:rsid w:val="00935EC2"/>
    <w:rsid w:val="00C3645A"/>
    <w:rsid w:val="00D00625"/>
    <w:rsid w:val="00DF3633"/>
    <w:rsid w:val="00E141F8"/>
    <w:rsid w:val="00E81C9E"/>
    <w:rsid w:val="013853AC"/>
    <w:rsid w:val="01603505"/>
    <w:rsid w:val="01F16209"/>
    <w:rsid w:val="023E1286"/>
    <w:rsid w:val="029C7664"/>
    <w:rsid w:val="02C122C8"/>
    <w:rsid w:val="030669ED"/>
    <w:rsid w:val="032B7E17"/>
    <w:rsid w:val="034B5FC8"/>
    <w:rsid w:val="03C74493"/>
    <w:rsid w:val="03CA5C6D"/>
    <w:rsid w:val="03EF62BC"/>
    <w:rsid w:val="04E634F4"/>
    <w:rsid w:val="057311F3"/>
    <w:rsid w:val="05953E92"/>
    <w:rsid w:val="05A4392C"/>
    <w:rsid w:val="05B622F4"/>
    <w:rsid w:val="06803F38"/>
    <w:rsid w:val="06897EFF"/>
    <w:rsid w:val="07013F3A"/>
    <w:rsid w:val="078B333A"/>
    <w:rsid w:val="07A67451"/>
    <w:rsid w:val="07C24B12"/>
    <w:rsid w:val="07D15ABF"/>
    <w:rsid w:val="087E795F"/>
    <w:rsid w:val="09104908"/>
    <w:rsid w:val="09EC7123"/>
    <w:rsid w:val="09ED56C9"/>
    <w:rsid w:val="0B4954E7"/>
    <w:rsid w:val="0B530D41"/>
    <w:rsid w:val="0B652758"/>
    <w:rsid w:val="0B9D71A5"/>
    <w:rsid w:val="0BF7590B"/>
    <w:rsid w:val="0BFE313E"/>
    <w:rsid w:val="0C177D5B"/>
    <w:rsid w:val="0C2A044F"/>
    <w:rsid w:val="0C492847"/>
    <w:rsid w:val="0CF31D21"/>
    <w:rsid w:val="0D89320B"/>
    <w:rsid w:val="0D8B0B2E"/>
    <w:rsid w:val="0EA05EA0"/>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379492E"/>
    <w:rsid w:val="143E2438"/>
    <w:rsid w:val="14422232"/>
    <w:rsid w:val="149D2B06"/>
    <w:rsid w:val="14DF7D0B"/>
    <w:rsid w:val="152B7330"/>
    <w:rsid w:val="152C0D1B"/>
    <w:rsid w:val="152F207E"/>
    <w:rsid w:val="15CB2DA0"/>
    <w:rsid w:val="16135A37"/>
    <w:rsid w:val="166F3635"/>
    <w:rsid w:val="16806E74"/>
    <w:rsid w:val="17796C41"/>
    <w:rsid w:val="17AF353E"/>
    <w:rsid w:val="17F53FEF"/>
    <w:rsid w:val="185870FA"/>
    <w:rsid w:val="185A544F"/>
    <w:rsid w:val="18890233"/>
    <w:rsid w:val="18A60DE5"/>
    <w:rsid w:val="190D49C0"/>
    <w:rsid w:val="1943698A"/>
    <w:rsid w:val="194A1770"/>
    <w:rsid w:val="198737C7"/>
    <w:rsid w:val="19976A31"/>
    <w:rsid w:val="19A15FDA"/>
    <w:rsid w:val="19DC6BDA"/>
    <w:rsid w:val="1A4B1C44"/>
    <w:rsid w:val="1A972372"/>
    <w:rsid w:val="1AA56FDE"/>
    <w:rsid w:val="1B1B25BA"/>
    <w:rsid w:val="1B7913A6"/>
    <w:rsid w:val="1B8F5B99"/>
    <w:rsid w:val="1D61352C"/>
    <w:rsid w:val="1D882867"/>
    <w:rsid w:val="1DC64ADE"/>
    <w:rsid w:val="1DCF6B00"/>
    <w:rsid w:val="1DFA0457"/>
    <w:rsid w:val="1E5F5CBE"/>
    <w:rsid w:val="1E8307F5"/>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C64579"/>
    <w:rsid w:val="23EC5AE3"/>
    <w:rsid w:val="247C6E9E"/>
    <w:rsid w:val="24A51F50"/>
    <w:rsid w:val="25650E5F"/>
    <w:rsid w:val="25674FDE"/>
    <w:rsid w:val="25C26B32"/>
    <w:rsid w:val="26010880"/>
    <w:rsid w:val="26F15921"/>
    <w:rsid w:val="27B05B28"/>
    <w:rsid w:val="28515521"/>
    <w:rsid w:val="28D92620"/>
    <w:rsid w:val="294E0F60"/>
    <w:rsid w:val="29760BDE"/>
    <w:rsid w:val="2987716A"/>
    <w:rsid w:val="29AE18A7"/>
    <w:rsid w:val="2A1C39EA"/>
    <w:rsid w:val="2A6366FF"/>
    <w:rsid w:val="2B3D5BF4"/>
    <w:rsid w:val="2C4141D8"/>
    <w:rsid w:val="2C950AFD"/>
    <w:rsid w:val="2D210C4A"/>
    <w:rsid w:val="2D2F064E"/>
    <w:rsid w:val="2E5D389C"/>
    <w:rsid w:val="2E6D6139"/>
    <w:rsid w:val="2E7A56DC"/>
    <w:rsid w:val="2E9530F4"/>
    <w:rsid w:val="2E9F315C"/>
    <w:rsid w:val="2EBA484A"/>
    <w:rsid w:val="2F4D3609"/>
    <w:rsid w:val="2F5836E9"/>
    <w:rsid w:val="300206D5"/>
    <w:rsid w:val="30062480"/>
    <w:rsid w:val="30556F21"/>
    <w:rsid w:val="308C5F1F"/>
    <w:rsid w:val="30CE282F"/>
    <w:rsid w:val="31111553"/>
    <w:rsid w:val="31191AA6"/>
    <w:rsid w:val="314B6E80"/>
    <w:rsid w:val="31A05328"/>
    <w:rsid w:val="32843E96"/>
    <w:rsid w:val="32C410E7"/>
    <w:rsid w:val="32EC2577"/>
    <w:rsid w:val="334341C1"/>
    <w:rsid w:val="33F2545E"/>
    <w:rsid w:val="34155E66"/>
    <w:rsid w:val="34454474"/>
    <w:rsid w:val="34AF40BC"/>
    <w:rsid w:val="36043E6C"/>
    <w:rsid w:val="36162BCB"/>
    <w:rsid w:val="364530C9"/>
    <w:rsid w:val="36A71B58"/>
    <w:rsid w:val="37103BA1"/>
    <w:rsid w:val="37514AF4"/>
    <w:rsid w:val="377C0298"/>
    <w:rsid w:val="37B04D36"/>
    <w:rsid w:val="37C65D75"/>
    <w:rsid w:val="37D2523E"/>
    <w:rsid w:val="38034C51"/>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E0C6463"/>
    <w:rsid w:val="3E1B26A7"/>
    <w:rsid w:val="3E32264F"/>
    <w:rsid w:val="3EE43BF5"/>
    <w:rsid w:val="403E57B7"/>
    <w:rsid w:val="405363C6"/>
    <w:rsid w:val="40C043CD"/>
    <w:rsid w:val="411A0F39"/>
    <w:rsid w:val="41313092"/>
    <w:rsid w:val="415A5C88"/>
    <w:rsid w:val="41CE08E1"/>
    <w:rsid w:val="42112513"/>
    <w:rsid w:val="42181B5C"/>
    <w:rsid w:val="42235DCF"/>
    <w:rsid w:val="433C7ACC"/>
    <w:rsid w:val="435518AD"/>
    <w:rsid w:val="43C04259"/>
    <w:rsid w:val="43C354C4"/>
    <w:rsid w:val="44A040E0"/>
    <w:rsid w:val="44C67F95"/>
    <w:rsid w:val="4557347D"/>
    <w:rsid w:val="4559568A"/>
    <w:rsid w:val="45A47533"/>
    <w:rsid w:val="45F97EF6"/>
    <w:rsid w:val="46BC402D"/>
    <w:rsid w:val="472961BF"/>
    <w:rsid w:val="475528CD"/>
    <w:rsid w:val="47B265AF"/>
    <w:rsid w:val="47E4523E"/>
    <w:rsid w:val="481643B2"/>
    <w:rsid w:val="4916491B"/>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604FB7"/>
    <w:rsid w:val="4EFA25EF"/>
    <w:rsid w:val="4F0B04A7"/>
    <w:rsid w:val="4F2C043D"/>
    <w:rsid w:val="4F444716"/>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1D105F"/>
    <w:rsid w:val="557B35BC"/>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A16F8"/>
    <w:rsid w:val="6139287F"/>
    <w:rsid w:val="616D4934"/>
    <w:rsid w:val="61CA0C65"/>
    <w:rsid w:val="62271B91"/>
    <w:rsid w:val="62C642C8"/>
    <w:rsid w:val="631B2246"/>
    <w:rsid w:val="6320666B"/>
    <w:rsid w:val="63CF15A0"/>
    <w:rsid w:val="64055963"/>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A4E3ABD"/>
    <w:rsid w:val="6AE63D7E"/>
    <w:rsid w:val="6B1FB0C7"/>
    <w:rsid w:val="6B462C2B"/>
    <w:rsid w:val="6B8359E9"/>
    <w:rsid w:val="6B8C5108"/>
    <w:rsid w:val="6BD277B9"/>
    <w:rsid w:val="6C321620"/>
    <w:rsid w:val="6C5C4BB7"/>
    <w:rsid w:val="6C6D40A9"/>
    <w:rsid w:val="6CE30E35"/>
    <w:rsid w:val="6DA02882"/>
    <w:rsid w:val="6DA12E69"/>
    <w:rsid w:val="6DBB3B60"/>
    <w:rsid w:val="6E2C6F5B"/>
    <w:rsid w:val="6F0B4673"/>
    <w:rsid w:val="6F4831D1"/>
    <w:rsid w:val="700E4F44"/>
    <w:rsid w:val="70124E0E"/>
    <w:rsid w:val="70173239"/>
    <w:rsid w:val="711D3FA5"/>
    <w:rsid w:val="71C9107F"/>
    <w:rsid w:val="721A5B23"/>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C17FC5"/>
    <w:rsid w:val="77F2017E"/>
    <w:rsid w:val="78A551F0"/>
    <w:rsid w:val="78D36201"/>
    <w:rsid w:val="78F771D6"/>
    <w:rsid w:val="79017606"/>
    <w:rsid w:val="79D7762B"/>
    <w:rsid w:val="79EB254B"/>
    <w:rsid w:val="7BA82ABD"/>
    <w:rsid w:val="7C757EAB"/>
    <w:rsid w:val="7D0A41BC"/>
    <w:rsid w:val="7D0A4B32"/>
    <w:rsid w:val="7D797C2B"/>
    <w:rsid w:val="7D823D52"/>
    <w:rsid w:val="7DAC6A56"/>
    <w:rsid w:val="7E381ACE"/>
    <w:rsid w:val="7ED56104"/>
    <w:rsid w:val="7EF742CC"/>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paragraph" w:styleId="6">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annotation text"/>
    <w:basedOn w:val="1"/>
    <w:autoRedefine/>
    <w:qFormat/>
    <w:uiPriority w:val="0"/>
    <w:pPr>
      <w:jc w:val="left"/>
    </w:pPr>
  </w:style>
  <w:style w:type="paragraph" w:styleId="8">
    <w:name w:val="Body Text"/>
    <w:basedOn w:val="1"/>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Body Text First Indent"/>
    <w:basedOn w:val="8"/>
    <w:next w:val="14"/>
    <w:autoRedefine/>
    <w:qFormat/>
    <w:uiPriority w:val="0"/>
    <w:pPr>
      <w:ind w:firstLine="420"/>
    </w:pPr>
    <w:rPr>
      <w:rFonts w:hAnsi="Times New Roman" w:cs="Times New Roman"/>
      <w:snapToGrid/>
      <w:szCs w:val="20"/>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3"/>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827</Words>
  <Characters>1003</Characters>
  <Lines>224</Lines>
  <Paragraphs>63</Paragraphs>
  <TotalTime>82</TotalTime>
  <ScaleCrop>false</ScaleCrop>
  <LinksUpToDate>false</LinksUpToDate>
  <CharactersWithSpaces>1056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2025-08-08T05:35:18Z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